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6172200" cy="501650"/>
                <wp:effectExtent l="0" t="0" r="19050" b="12700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D12" w:rsidRPr="0033567C" w:rsidRDefault="00DC5D12" w:rsidP="00DC5D12">
                            <w:pPr>
                              <w:pStyle w:val="2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       </w:t>
                            </w:r>
                            <w:r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33567C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О Б Щ И Н А   П Е Р Н И К</w:t>
                            </w:r>
                          </w:p>
                          <w:p w:rsidR="00DC5D12" w:rsidRDefault="00DC5D12" w:rsidP="00DC5D12">
                            <w:pPr>
                              <w:pStyle w:val="3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54pt;margin-top:0;width:486pt;height:3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" strokecolor="white">
                <v:textbox>
                  <w:txbxContent>
                    <w:p w:rsidR="00DC5D12" w:rsidRPr="0033567C" w:rsidRDefault="00DC5D12" w:rsidP="00DC5D12">
                      <w:pPr>
                        <w:pStyle w:val="2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DC5D12">
                        <w:rPr>
                          <w:color w:val="auto"/>
                          <w:sz w:val="48"/>
                        </w:rPr>
                        <w:t xml:space="preserve">        </w:t>
                      </w:r>
                      <w:r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DC5D12"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33567C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О Б Щ И Н А   П Е Р Н И К</w:t>
                      </w:r>
                    </w:p>
                    <w:p w:rsidR="00DC5D12" w:rsidRDefault="00DC5D12" w:rsidP="00DC5D12">
                      <w:pPr>
                        <w:pStyle w:val="3"/>
                        <w:jc w:val="center"/>
                        <w:rPr>
                          <w:sz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7301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7.85pt;margin-top:0;width:69.1pt;height:81pt;z-index:-251657728;mso-position-horizontal:absolute;mso-position-horizontal-relative:text;mso-position-vertical-relative:text">
            <v:imagedata r:id="rId6" o:title="" gain="192753f"/>
          </v:shape>
          <o:OLEObject Type="Embed" ProgID="MSPhotoEd.3" ShapeID="_x0000_s1029" DrawAspect="Content" ObjectID="_1578921430" r:id="rId7"/>
        </w:pict>
      </w:r>
      <w:r w:rsidR="00DC5D12"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</w:t>
      </w:r>
      <w:r w:rsidR="003356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</w:t>
      </w:r>
      <w:r w:rsidR="00BE22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53339</wp:posOffset>
                </wp:positionV>
                <wp:extent cx="5120640" cy="0"/>
                <wp:effectExtent l="0" t="19050" r="381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pt,4.2pt" to="493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" strokeweight="2.25pt"/>
            </w:pict>
          </mc:Fallback>
        </mc:AlternateConten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Перник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,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. ”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Св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Иван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Рилски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”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1А 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тел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076 / 602 933;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факс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: 076 / 603 890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1521E" w:rsidRDefault="00900C4C" w:rsidP="00900C4C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  </w:t>
      </w:r>
    </w:p>
    <w:p w:rsidR="0001521E" w:rsidRDefault="0001521E" w:rsidP="00900C4C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01521E" w:rsidRDefault="0001521E" w:rsidP="00900C4C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900C4C" w:rsidRPr="00B76B33" w:rsidRDefault="00900C4C" w:rsidP="00900C4C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Изх.№ .......................</w:t>
      </w:r>
    </w:p>
    <w:p w:rsidR="00900C4C" w:rsidRPr="00B76B33" w:rsidRDefault="00900C4C" w:rsidP="00900C4C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lang w:eastAsia="bg-BG"/>
        </w:rPr>
        <w:t xml:space="preserve">        ....................201</w:t>
      </w:r>
      <w:r>
        <w:rPr>
          <w:rFonts w:ascii="Times New Roman" w:eastAsia="Times New Roman" w:hAnsi="Times New Roman" w:cs="Times New Roman"/>
          <w:lang w:val="en-US" w:eastAsia="bg-BG"/>
        </w:rPr>
        <w:t>8</w:t>
      </w:r>
      <w:r w:rsidRPr="00B76B33">
        <w:rPr>
          <w:rFonts w:ascii="Times New Roman" w:eastAsia="Times New Roman" w:hAnsi="Times New Roman" w:cs="Times New Roman"/>
          <w:lang w:eastAsia="bg-BG"/>
        </w:rPr>
        <w:t xml:space="preserve"> г.</w:t>
      </w:r>
    </w:p>
    <w:p w:rsidR="002C7C69" w:rsidRPr="002C7C69" w:rsidRDefault="002C7C69" w:rsidP="00DC5D1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3567C" w:rsidRDefault="002C7C69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ОДОБРИЛ:</w:t>
      </w:r>
    </w:p>
    <w:p w:rsidR="00BE2295" w:rsidRPr="00BE2295" w:rsidRDefault="00BE2295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Вяра  </w:t>
      </w:r>
      <w:proofErr w:type="spellStart"/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Церовска</w:t>
      </w:r>
      <w:proofErr w:type="spellEnd"/>
    </w:p>
    <w:p w:rsidR="0033567C" w:rsidRPr="00BE2295" w:rsidRDefault="0033567C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Кмет на Община Перник:</w:t>
      </w:r>
    </w:p>
    <w:p w:rsidR="002C7C69" w:rsidRPr="00BE2295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8B57CE" w:rsidRDefault="008B57CE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>ПРОЕКТ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:</w:t>
      </w:r>
      <w:r w:rsidRPr="002C7C6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изграждане на  улица “Оряхово</w:t>
      </w:r>
      <w:r w:rsidR="00937D16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кв.Изток,  гр.Перник </w:t>
      </w:r>
      <w:r w:rsidR="00DA29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DA29BF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 w:rsidR="00DA29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Перник.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2C7C69" w:rsidP="002C7C69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ФАЗА: </w:t>
      </w:r>
      <w:r w:rsidRPr="002C7C69"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  <w:t xml:space="preserve">     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Технически проект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 xml:space="preserve">ВЪЗЛОЖИТЕЛ: 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о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бщина Перник</w:t>
      </w:r>
    </w:p>
    <w:p w:rsidR="002C7C69" w:rsidRPr="002C7C69" w:rsidRDefault="002C7C69" w:rsidP="002C7C69">
      <w:pPr>
        <w:spacing w:after="0" w:line="240" w:lineRule="auto"/>
        <w:ind w:hanging="731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9E035A" w:rsidRDefault="009E035A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9E035A" w:rsidRDefault="009E035A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ТЕХНИЧЕСКО ЗАДАНИЕ ЗА ПРОЕКТИРАНЕ </w:t>
      </w: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143F7" w:rsidRDefault="009143F7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5745" w:rsidRDefault="003C19C0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1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ПЪЛНО ОПИСАНИЕ НА ОБЕКТА</w:t>
      </w:r>
      <w:r w:rsid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:</w:t>
      </w:r>
      <w:r w:rsidR="000B24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796A19" w:rsidRDefault="00796A19" w:rsidP="0079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6A19" w:rsidRPr="002C7C69" w:rsidRDefault="00796A19" w:rsidP="0079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Изграждане на  улица “Оряхово“ кв.Изток,  гр.Перник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Перник.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035745" w:rsidRDefault="00035745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6A19" w:rsidRDefault="00A34EF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</w:p>
    <w:p w:rsidR="002C7C69" w:rsidRPr="000B246E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2.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ОПИСАНИЕ </w:t>
      </w:r>
      <w:proofErr w:type="gramStart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НА</w:t>
      </w:r>
      <w:proofErr w:type="gramEnd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ПРЕДМЕТА</w:t>
      </w:r>
    </w:p>
    <w:p w:rsidR="00035745" w:rsidRDefault="005E43A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2C7C69" w:rsidRPr="00796A19" w:rsidRDefault="00035745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Предметът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включва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изготвяне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технически проект за</w:t>
      </w:r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обект</w:t>
      </w:r>
      <w:proofErr w:type="spellEnd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: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Изграждане на  улица “Оряхово“ кв.Изток,  гр.Перник </w:t>
      </w:r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796A1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796A1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796A1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796A1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да се разработи за един етап на изпълнение на СМР, както е описан в наименованието.</w:t>
      </w:r>
    </w:p>
    <w:p w:rsidR="002C7C69" w:rsidRPr="002C7C69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Обектът е І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V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-та категория, съгласно чл. 8 ал. </w:t>
      </w:r>
      <w:proofErr w:type="gram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 за номенклатурата на видовете строежи.</w:t>
      </w:r>
      <w:proofErr w:type="gramEnd"/>
    </w:p>
    <w:p w:rsidR="002C7C69" w:rsidRPr="002C7C69" w:rsidRDefault="002C7C69" w:rsidP="00954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3C19C0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01521E" w:rsidRDefault="0001521E" w:rsidP="003C19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9E6860" w:rsidP="003C19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3.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СЪЩЕСТВУВАЩО ПОЛОЖЕНИЕ</w:t>
      </w:r>
    </w:p>
    <w:p w:rsidR="0095449A" w:rsidRPr="0077694F" w:rsidRDefault="00BE39DD" w:rsidP="0077694F">
      <w:pPr>
        <w:spacing w:before="240" w:after="12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лица </w:t>
      </w:r>
      <w:r w:rsidR="00796A19">
        <w:rPr>
          <w:rFonts w:ascii="Times New Roman" w:eastAsia="Times New Roman" w:hAnsi="Times New Roman" w:cs="Times New Roman"/>
          <w:sz w:val="24"/>
          <w:szCs w:val="24"/>
          <w:lang w:eastAsia="bg-BG"/>
        </w:rPr>
        <w:t>Оряхово</w:t>
      </w:r>
      <w:r w:rsidR="00DA29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6730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="0026730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6730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регулационния</w:t>
      </w:r>
      <w:proofErr w:type="spellEnd"/>
      <w:r w:rsidR="0026730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план </w:t>
      </w:r>
      <w:bookmarkStart w:id="0" w:name="_GoBack"/>
      <w:bookmarkEnd w:id="0"/>
      <w:r w:rsidR="00AA652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е 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4E5F9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обща </w:t>
      </w:r>
      <w:proofErr w:type="spellStart"/>
      <w:r w:rsidR="004E5F9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дължина</w:t>
      </w:r>
      <w:proofErr w:type="spellEnd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около 82</w:t>
      </w:r>
      <w:r w:rsidR="005258A6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габарит  9м, от </w:t>
      </w:r>
      <w:proofErr w:type="spellStart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които</w:t>
      </w:r>
      <w:proofErr w:type="spellEnd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6м </w:t>
      </w:r>
      <w:proofErr w:type="spellStart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улично</w:t>
      </w:r>
      <w:proofErr w:type="spellEnd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платно и 2бр. </w:t>
      </w:r>
      <w:proofErr w:type="spellStart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тротоари</w:t>
      </w:r>
      <w:proofErr w:type="spellEnd"/>
      <w:r w:rsidR="00796A1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1,5м ширина.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Улицата</w:t>
      </w:r>
      <w:proofErr w:type="spellEnd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8813B8">
        <w:rPr>
          <w:rFonts w:ascii="Times New Roman" w:eastAsia="Times New Roman" w:hAnsi="Times New Roman" w:cs="Times New Roman"/>
          <w:sz w:val="24"/>
          <w:szCs w:val="24"/>
          <w:lang w:eastAsia="bg-BG"/>
        </w:rPr>
        <w:t>няма</w:t>
      </w:r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изградена</w:t>
      </w:r>
      <w:proofErr w:type="spellEnd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канализация  и </w:t>
      </w:r>
      <w:proofErr w:type="spellStart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асфалтова</w:t>
      </w:r>
      <w:proofErr w:type="spellEnd"/>
      <w:r w:rsidR="008813B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настилка</w:t>
      </w:r>
      <w:proofErr w:type="gramStart"/>
      <w:r w:rsidR="008813B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</w:t>
      </w:r>
      <w:proofErr w:type="gramEnd"/>
    </w:p>
    <w:p w:rsidR="00035745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</w:t>
      </w:r>
    </w:p>
    <w:p w:rsidR="009E6860" w:rsidRPr="0077694F" w:rsidRDefault="00035745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5E43A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ОСНОВНИ ДЕЙНОСТИ</w:t>
      </w:r>
    </w:p>
    <w:p w:rsidR="00035745" w:rsidRDefault="00035745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.1. Техническият проект да се изготви в обхват, достатъчен за успешно изпълнение на инвестиционното намерение и в съответствие с Наредба № 4 за обхват и съдържание на инвестиционните проекти.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.2. Изготвяне на проект за временна организация на движението по Наредба № 03/16.08.2010 г. при извършване на строителство и ремонт на пътища и улици. </w:t>
      </w:r>
    </w:p>
    <w:p w:rsidR="009E6860" w:rsidRPr="009E6860" w:rsidRDefault="009E6860" w:rsidP="009E68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5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ОСНОВАНИЕ ЗА ПРОЕКТИРАНЕ</w:t>
      </w:r>
    </w:p>
    <w:p w:rsidR="00035745" w:rsidRDefault="003C19C0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9E6860" w:rsidRPr="009E6860" w:rsidRDefault="00001928" w:rsidP="0026730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Изграждане</w:t>
      </w:r>
      <w:r w:rsid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 улиц</w:t>
      </w:r>
      <w:r w:rsid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“Оряхово“ в кв.Изток </w:t>
      </w:r>
      <w:r w:rsidR="00267301" w:rsidRP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>ще осигури по-бърз и лесен транспорт до</w:t>
      </w:r>
      <w:r w:rsid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прилежащите жилищни сгради , търговски обекти </w:t>
      </w:r>
      <w:r w:rsidR="00267301" w:rsidRP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ще подобри мобилн</w:t>
      </w:r>
      <w:r w:rsidR="002673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остта на територията като цяло.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03574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9E6860" w:rsidRPr="009E6860" w:rsidRDefault="00267301" w:rsidP="0026730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ОСНОВНИ ИЗИСКВАНИЯ КЪМ ПРОЕКТА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.1. Цел на проекта</w:t>
      </w:r>
    </w:p>
    <w:p w:rsidR="00001928" w:rsidRPr="00EB65F3" w:rsidRDefault="00001928" w:rsidP="000019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проекта да се реши изграждане на предвидената улица за един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тап на изпълнение на СМР. Да се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изпълни нова пътна конструкция за асфалтобетонна настилка.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Да се реши отводняването на повърхностните води от пътното платно и на земното легло от подпочвени води.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.2. Участък за проектиране</w:t>
      </w:r>
    </w:p>
    <w:p w:rsidR="00035745" w:rsidRDefault="00035745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01928" w:rsidRDefault="00EB65F3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001928" w:rsidRP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улица “Оряхово“ кв.Изток,  гр.Перник </w:t>
      </w:r>
      <w:r w:rsidR="0000192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 w:rsidR="0000192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Перник.</w:t>
      </w:r>
    </w:p>
    <w:p w:rsidR="00B23FFE" w:rsidRPr="002D4126" w:rsidRDefault="00B23FFE" w:rsidP="002D412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9E6860" w:rsidRPr="009E6860" w:rsidRDefault="00EF0661" w:rsidP="00EF06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.3. Част “Геодезия”</w:t>
      </w:r>
    </w:p>
    <w:p w:rsidR="00035745" w:rsidRDefault="00035745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9E6860" w:rsidP="002D4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направи подробно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геодезическо</w:t>
      </w:r>
      <w:proofErr w:type="spellEnd"/>
      <w:r w:rsidR="002D412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засн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емане на съществуващия терен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изработване на проекта. Да се постави, стабилизира и 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реперира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опорен полигон, от който да се извърши заснемането.</w:t>
      </w:r>
    </w:p>
    <w:p w:rsid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подробен трасировъчен чертеж, обвързан с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осовата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мрежа и координатен регистър. </w:t>
      </w:r>
    </w:p>
    <w:p w:rsidR="008B57CE" w:rsidRDefault="008B57CE" w:rsidP="003E76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EF0661" w:rsidP="00EF06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.4. Част “Пътна”, „Организация на движението“ и „Временна организация на движението“  </w:t>
      </w:r>
    </w:p>
    <w:p w:rsidR="00035745" w:rsidRDefault="00035745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E7632" w:rsidRPr="009E6860" w:rsidRDefault="009E6860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вземат под внимание уличните съоръжения и принадлежности , както и входове</w:t>
      </w:r>
      <w:r w:rsid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изходи на жилищни сгради, търговски обекти</w:t>
      </w:r>
      <w:r w:rsidR="00F44A1C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44A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дворове и др., като улицата да се съобрази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ситуационно и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нивелетно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тях.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Надлъжни и напречни наклони: съгласно техническите норми и осигуряване на повърхностно отводняване.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По функционална класификация </w:t>
      </w:r>
      <w:r w:rsidR="000019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улицата за изграждане е от второстепенната улична мрежа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клас „V”.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Конструкцията да бъде оразмерена</w:t>
      </w:r>
      <w:r w:rsidR="003E76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категория на движение „средно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”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необходимите детайли.</w:t>
      </w:r>
    </w:p>
    <w:p w:rsidR="009E6860" w:rsidRPr="009E6860" w:rsidRDefault="009E6860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организация на движен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ието -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хоризонтална маркировка. С него да се реши безпрепятственото придвижване 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МПС по улицата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E6860" w:rsidRPr="009E6860" w:rsidRDefault="009E6860" w:rsidP="009E6860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временна организация на движението по време на строителството в съответствие с Наредба № 03/16.08.2010 г. за временната организация на движението при извършване на строителство и ремонт на пътища и улици.</w:t>
      </w:r>
    </w:p>
    <w:p w:rsidR="002C7C69" w:rsidRPr="006A6968" w:rsidRDefault="002C7C69" w:rsidP="006A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2C7C69" w:rsidRPr="002C7C69" w:rsidRDefault="00EF0661" w:rsidP="00EF06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6.5. Част “Отводняване” ”(към пътна част)</w:t>
      </w:r>
    </w:p>
    <w:p w:rsidR="0001521E" w:rsidRDefault="0001521E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C6DBF" w:rsidRPr="00BD0094" w:rsidRDefault="002C7C69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план за отводняване на </w:t>
      </w:r>
      <w:proofErr w:type="spellStart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улицата</w:t>
      </w:r>
      <w:proofErr w:type="spellEnd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вертикална</w:t>
      </w:r>
      <w:proofErr w:type="spellEnd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планировка.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DC6DBF" w:rsidRPr="00BD0094" w:rsidRDefault="00DC6DBF" w:rsidP="00BD0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6D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</w:t>
      </w:r>
      <w:r w:rsidRPr="00DC6DB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</w:t>
      </w:r>
    </w:p>
    <w:p w:rsidR="00F2277A" w:rsidRDefault="00EF0661" w:rsidP="00EF06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2A3710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F2277A" w:rsidRP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proofErr w:type="spellStart"/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Паркоустройство</w:t>
      </w:r>
      <w:proofErr w:type="spellEnd"/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277A" w:rsidRP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27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предвиди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възстановяване на разрушени зелени площи  и растителност в обхвата на улицата.</w:t>
      </w:r>
      <w:r w:rsidR="00B27D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предвиди озеленяване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където има възможност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тротоарната част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улицата.</w:t>
      </w:r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46685" w:rsidRPr="002C7C69" w:rsidRDefault="002A3710" w:rsidP="000466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Кол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ичествени </w:t>
      </w:r>
      <w:r w:rsidR="00046685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сметки и обяснителни записки</w:t>
      </w:r>
    </w:p>
    <w:p w:rsidR="00222B43" w:rsidRDefault="00222B43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количес</w:t>
      </w:r>
      <w:r w:rsidR="00BD009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твени и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сметки и обяснителни записки по всички части на проекта.</w:t>
      </w:r>
    </w:p>
    <w:p w:rsid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001928" w:rsidRDefault="00001928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01928" w:rsidRDefault="00EF0661" w:rsidP="00EF06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</w:t>
      </w:r>
      <w:r w:rsidR="002A3710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</w:t>
      </w:r>
      <w:r w:rsidR="002A371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2A3710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8</w:t>
      </w:r>
      <w:r w:rsidR="00001928" w:rsidRP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Количествено-стойностна сметка</w:t>
      </w:r>
    </w:p>
    <w:p w:rsidR="001718EA" w:rsidRDefault="001718EA" w:rsidP="00001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01928" w:rsidRPr="002C7C69" w:rsidRDefault="001718EA" w:rsidP="000019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обобщена 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твено- стойностна сметка.</w:t>
      </w:r>
      <w:r w:rsidR="00001928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01928" w:rsidRPr="00001928" w:rsidRDefault="00001928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EF0661" w:rsidRDefault="00EF0661" w:rsidP="001718E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</w:t>
      </w:r>
      <w:r w:rsidR="002A3710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СЪДЪРЖАНИЕ НА ПРОЕКТА</w:t>
      </w:r>
    </w:p>
    <w:p w:rsidR="00222B43" w:rsidRDefault="00222B4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1. Част “Геодезия”.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Част “Пътна”. 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Част “ОД”. 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4. Част “ВОД”.</w:t>
      </w:r>
    </w:p>
    <w:p w:rsidR="00064499" w:rsidRDefault="00000490" w:rsidP="00000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5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Част </w:t>
      </w:r>
      <w:proofErr w:type="spellStart"/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паркоустройство</w:t>
      </w:r>
      <w:proofErr w:type="spellEnd"/>
    </w:p>
    <w:p w:rsidR="002C7C69" w:rsidRPr="002C7C69" w:rsidRDefault="00A27B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Количествени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сметки по всички части на проекта.</w:t>
      </w:r>
    </w:p>
    <w:p w:rsidR="002C7C69" w:rsidRPr="002C7C69" w:rsidRDefault="00A27B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Обяснителни записки по всички части на проекта.</w:t>
      </w:r>
    </w:p>
    <w:p w:rsidR="002C7C69" w:rsidRPr="002C7C69" w:rsidRDefault="00A27B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Pr="00E451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 Обобщена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</w:t>
      </w:r>
      <w:r w:rsidRPr="00E4510D">
        <w:rPr>
          <w:rFonts w:ascii="Times New Roman" w:eastAsia="Times New Roman" w:hAnsi="Times New Roman" w:cs="Times New Roman"/>
          <w:sz w:val="24"/>
          <w:szCs w:val="24"/>
          <w:lang w:eastAsia="bg-BG"/>
        </w:rPr>
        <w:t>оличествено-стойностна сметка</w:t>
      </w:r>
    </w:p>
    <w:p w:rsidR="00A27B3A" w:rsidRDefault="00A27B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Проектът да се пр</w:t>
      </w:r>
      <w:r w:rsidR="002D41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едстави на хартиен носител в четири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оригинални екземпляра и в цифров вид на 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CD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</w:p>
    <w:p w:rsidR="0001521E" w:rsidRDefault="0001521E" w:rsidP="000F07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F0762" w:rsidRPr="002C7C69" w:rsidRDefault="000F0762" w:rsidP="000F07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0F0762" w:rsidRPr="002C7C69" w:rsidRDefault="000F0762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23DD9" w:rsidRDefault="00323DD9" w:rsidP="00323D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                 </w:t>
      </w:r>
    </w:p>
    <w:p w:rsidR="00323DD9" w:rsidRDefault="00323DD9" w:rsidP="00323D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23DD9" w:rsidRPr="005E136C" w:rsidRDefault="00323DD9" w:rsidP="00323D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МИНИМАЛНИ ИЗИСКВАНИЯ КЪМ ЕКСПЕРТИТЕ</w:t>
      </w:r>
    </w:p>
    <w:p w:rsidR="00323DD9" w:rsidRPr="00235A2C" w:rsidRDefault="00EF0661" w:rsidP="00323DD9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  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1.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Опит на участника – Участник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ът 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тряб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>ва да докаже опит в проектирането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на 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>поне три проекта със сходна тематика през последните пет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години (считано от датата на подаване на офертата);</w:t>
      </w:r>
    </w:p>
    <w:p w:rsidR="00323DD9" w:rsidRPr="00FC1672" w:rsidRDefault="00EF0661" w:rsidP="00323DD9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  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2.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Ключови 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експерти 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на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участника – Участник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>ът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трябва да разполага минимум със следния ръководен състав от ключови експерти за изпълнението на поръчката: </w:t>
      </w:r>
    </w:p>
    <w:p w:rsidR="00323DD9" w:rsidRPr="00BE07F1" w:rsidRDefault="00323DD9" w:rsidP="00323DD9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BE07F1"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>Главен проектант транспортно строителство/пътно строителство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- строителен инженер със спец. ТС или ПС с опит на по специалността мин. 5 г. и удостоверение от КИИП за ППП; </w:t>
      </w:r>
    </w:p>
    <w:p w:rsidR="00323DD9" w:rsidRPr="009550E1" w:rsidRDefault="00323DD9" w:rsidP="00323DD9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E07F1"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 xml:space="preserve">Проектанти 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 xml:space="preserve">по съответните части строителни инженери 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с удостоверение от КИИП за ППП или ОПП – 3 души</w:t>
      </w:r>
      <w:r w:rsidRPr="009550E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>с опит на по специалността мин. 5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г.</w:t>
      </w:r>
    </w:p>
    <w:p w:rsidR="00323DD9" w:rsidRPr="00235A2C" w:rsidRDefault="00323DD9" w:rsidP="00323D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5A2C">
        <w:rPr>
          <w:rFonts w:ascii="Times New Roman" w:eastAsia="Times New Roman" w:hAnsi="Times New Roman" w:cs="Times New Roman"/>
          <w:sz w:val="26"/>
          <w:szCs w:val="26"/>
          <w:u w:val="single"/>
          <w:lang w:eastAsia="bg-BG"/>
        </w:rPr>
        <w:t>Доказване за съответствие на участника с минималните изисквания:</w:t>
      </w:r>
    </w:p>
    <w:p w:rsidR="00323DD9" w:rsidRPr="00235A2C" w:rsidRDefault="00EF0661" w:rsidP="00323DD9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  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1.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Участник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>ът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да представи следните документи: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заверени копия от договорите за изпълнение на услугата по изготвяне на проекти .</w:t>
      </w:r>
    </w:p>
    <w:p w:rsidR="00323DD9" w:rsidRPr="00235A2C" w:rsidRDefault="00EF0661" w:rsidP="00323DD9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  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2.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>Д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окументи за доказване на опит и квалификация на експертите – Автоби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>ография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, копие от уд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>остоверение от КИИП за 2016г.</w:t>
      </w:r>
    </w:p>
    <w:p w:rsidR="00323DD9" w:rsidRPr="00235A2C" w:rsidRDefault="00EF0661" w:rsidP="00323DD9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  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3.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Удостоверение за регистрация на проектантско бюро или посочване на официален публичен регистър и номер и дата на регист</w:t>
      </w:r>
      <w:r w:rsidR="00323DD9">
        <w:rPr>
          <w:rFonts w:ascii="Times New Roman" w:eastAsia="Times New Roman" w:hAnsi="Times New Roman" w:cs="Times New Roman"/>
          <w:sz w:val="26"/>
          <w:szCs w:val="26"/>
          <w:lang w:eastAsia="bg-BG"/>
        </w:rPr>
        <w:t>р</w:t>
      </w:r>
      <w:r w:rsidR="00323DD9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ация.</w:t>
      </w:r>
    </w:p>
    <w:p w:rsidR="0079793C" w:rsidRPr="002C7C69" w:rsidRDefault="0079793C" w:rsidP="00797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Приложение: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Скица – 1 бр.</w:t>
      </w:r>
    </w:p>
    <w:p w:rsidR="0079793C" w:rsidRPr="002C7C69" w:rsidRDefault="0079793C" w:rsidP="0079793C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550E1" w:rsidRPr="00265001" w:rsidRDefault="009550E1" w:rsidP="009550E1">
      <w:pPr>
        <w:pStyle w:val="a7"/>
        <w:jc w:val="both"/>
        <w:rPr>
          <w:lang w:val="bg-BG"/>
        </w:rPr>
      </w:pPr>
    </w:p>
    <w:p w:rsidR="009550E1" w:rsidRPr="00951C01" w:rsidRDefault="00951C01" w:rsidP="00BE39DD">
      <w:pPr>
        <w:pStyle w:val="a7"/>
        <w:jc w:val="both"/>
        <w:rPr>
          <w:i/>
          <w:lang w:val="bg-BG"/>
        </w:rPr>
      </w:pPr>
      <w:r>
        <w:rPr>
          <w:i/>
          <w:lang w:val="en-US"/>
        </w:rPr>
        <w:t xml:space="preserve">                                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>инж. Владислав Караилиев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Зам. Кмет по Строителство и устройство на територията</w:t>
      </w:r>
    </w:p>
    <w:p w:rsidR="009550E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131E" w:rsidRPr="00265001" w:rsidRDefault="00E3131E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001">
        <w:rPr>
          <w:rFonts w:ascii="Times New Roman" w:hAnsi="Times New Roman"/>
          <w:sz w:val="24"/>
          <w:szCs w:val="24"/>
        </w:rPr>
        <w:t>Съгласувал: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 xml:space="preserve">инж. Богомил Алексов </w:t>
      </w:r>
    </w:p>
    <w:p w:rsidR="009550E1" w:rsidRPr="00265001" w:rsidRDefault="009550E1" w:rsidP="009550E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Директор  Д”СИЕ”/Гл. инженер</w:t>
      </w:r>
    </w:p>
    <w:p w:rsidR="00FC1672" w:rsidRPr="008B57CE" w:rsidRDefault="00FC1672" w:rsidP="008B5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B57CE" w:rsidRPr="008B57CE" w:rsidRDefault="008B57CE" w:rsidP="008B57C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B57CE" w:rsidRDefault="00EF0661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B57C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Изготвил:</w:t>
      </w:r>
    </w:p>
    <w:p w:rsidR="008B57CE" w:rsidRPr="008B57CE" w:rsidRDefault="00EF0661" w:rsidP="002C7C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инж.Лилия </w:t>
      </w:r>
      <w:proofErr w:type="spellStart"/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Пънтова</w:t>
      </w:r>
      <w:proofErr w:type="spellEnd"/>
    </w:p>
    <w:p w:rsidR="002C7C69" w:rsidRPr="00120F50" w:rsidRDefault="00EF0661" w:rsidP="00120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r w:rsidR="008B5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Гл.експерт в Д „СИЕ“</w:t>
      </w:r>
    </w:p>
    <w:p w:rsidR="00120F50" w:rsidRDefault="00120F50" w:rsidP="00120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C7C69" w:rsidRPr="00EF0661" w:rsidRDefault="008B57CE" w:rsidP="00EF066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Д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</w:t>
      </w:r>
      <w:r w:rsidR="00DC5D12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: </w:t>
      </w:r>
      <w:r w:rsidR="00EF0661">
        <w:rPr>
          <w:rFonts w:ascii="Times New Roman" w:eastAsia="Times New Roman" w:hAnsi="Times New Roman" w:cs="Times New Roman"/>
          <w:caps/>
          <w:sz w:val="24"/>
          <w:szCs w:val="24"/>
          <w:lang w:val="en-US" w:eastAsia="bg-BG"/>
        </w:rPr>
        <w:t>3</w:t>
      </w:r>
      <w:r w:rsidR="00046685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1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 w:rsidR="00EF0661">
        <w:rPr>
          <w:rFonts w:ascii="Times New Roman" w:eastAsia="Times New Roman" w:hAnsi="Times New Roman" w:cs="Times New Roman"/>
          <w:caps/>
          <w:sz w:val="24"/>
          <w:szCs w:val="24"/>
          <w:lang w:val="en-US" w:eastAsia="bg-BG"/>
        </w:rPr>
        <w:t>01</w:t>
      </w:r>
      <w:r w:rsidR="00BC41C1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201</w:t>
      </w:r>
      <w:r w:rsidR="00EF0661">
        <w:rPr>
          <w:rFonts w:ascii="Times New Roman" w:eastAsia="Times New Roman" w:hAnsi="Times New Roman" w:cs="Times New Roman"/>
          <w:caps/>
          <w:sz w:val="24"/>
          <w:szCs w:val="24"/>
          <w:lang w:val="en-US" w:eastAsia="bg-BG"/>
        </w:rPr>
        <w:t>8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                     </w:t>
      </w:r>
    </w:p>
    <w:p w:rsidR="001068FB" w:rsidRPr="009D4F7F" w:rsidRDefault="001068FB">
      <w:pPr>
        <w:rPr>
          <w:lang w:val="en-US"/>
        </w:rPr>
      </w:pPr>
    </w:p>
    <w:sectPr w:rsidR="001068FB" w:rsidRPr="009D4F7F" w:rsidSect="00733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6EC8"/>
    <w:multiLevelType w:val="hybridMultilevel"/>
    <w:tmpl w:val="8F52A57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190020"/>
    <w:multiLevelType w:val="hybridMultilevel"/>
    <w:tmpl w:val="D8C0C10E"/>
    <w:lvl w:ilvl="0" w:tplc="27F0747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5D34D86"/>
    <w:multiLevelType w:val="hybridMultilevel"/>
    <w:tmpl w:val="9F9C8C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7AFE30D8"/>
    <w:multiLevelType w:val="multilevel"/>
    <w:tmpl w:val="B374DD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9"/>
    <w:rsid w:val="00000490"/>
    <w:rsid w:val="00001928"/>
    <w:rsid w:val="0001521E"/>
    <w:rsid w:val="00035745"/>
    <w:rsid w:val="00046685"/>
    <w:rsid w:val="00064499"/>
    <w:rsid w:val="000B246E"/>
    <w:rsid w:val="000F0762"/>
    <w:rsid w:val="001068FB"/>
    <w:rsid w:val="00120F50"/>
    <w:rsid w:val="0015174F"/>
    <w:rsid w:val="001676FC"/>
    <w:rsid w:val="001718EA"/>
    <w:rsid w:val="00222B43"/>
    <w:rsid w:val="00267301"/>
    <w:rsid w:val="002A3710"/>
    <w:rsid w:val="002B1309"/>
    <w:rsid w:val="002C7C69"/>
    <w:rsid w:val="002D4126"/>
    <w:rsid w:val="00323DD9"/>
    <w:rsid w:val="0033117C"/>
    <w:rsid w:val="0033506E"/>
    <w:rsid w:val="0033567C"/>
    <w:rsid w:val="003439B3"/>
    <w:rsid w:val="003A769C"/>
    <w:rsid w:val="003C19C0"/>
    <w:rsid w:val="003E7632"/>
    <w:rsid w:val="003E79AD"/>
    <w:rsid w:val="00416775"/>
    <w:rsid w:val="004A5629"/>
    <w:rsid w:val="004E5F91"/>
    <w:rsid w:val="0052390A"/>
    <w:rsid w:val="005258A6"/>
    <w:rsid w:val="005D021A"/>
    <w:rsid w:val="005E136C"/>
    <w:rsid w:val="005E43A9"/>
    <w:rsid w:val="00603315"/>
    <w:rsid w:val="006A6968"/>
    <w:rsid w:val="00710C92"/>
    <w:rsid w:val="0073360E"/>
    <w:rsid w:val="0077694F"/>
    <w:rsid w:val="00777269"/>
    <w:rsid w:val="00796A19"/>
    <w:rsid w:val="0079793C"/>
    <w:rsid w:val="008012A5"/>
    <w:rsid w:val="008813B8"/>
    <w:rsid w:val="008950FD"/>
    <w:rsid w:val="008B57CE"/>
    <w:rsid w:val="00900C4C"/>
    <w:rsid w:val="009143F7"/>
    <w:rsid w:val="00937D16"/>
    <w:rsid w:val="00945B2D"/>
    <w:rsid w:val="00951C01"/>
    <w:rsid w:val="0095449A"/>
    <w:rsid w:val="009550E1"/>
    <w:rsid w:val="009D4F7F"/>
    <w:rsid w:val="009E035A"/>
    <w:rsid w:val="009E6860"/>
    <w:rsid w:val="00A27B3A"/>
    <w:rsid w:val="00A34EF9"/>
    <w:rsid w:val="00A70A90"/>
    <w:rsid w:val="00AA6527"/>
    <w:rsid w:val="00AD219E"/>
    <w:rsid w:val="00B23FFE"/>
    <w:rsid w:val="00B27D0D"/>
    <w:rsid w:val="00B76B33"/>
    <w:rsid w:val="00BA755A"/>
    <w:rsid w:val="00BC41C1"/>
    <w:rsid w:val="00BD0094"/>
    <w:rsid w:val="00BE2295"/>
    <w:rsid w:val="00BE39DD"/>
    <w:rsid w:val="00C5699A"/>
    <w:rsid w:val="00D922A3"/>
    <w:rsid w:val="00DA29BF"/>
    <w:rsid w:val="00DC5D12"/>
    <w:rsid w:val="00DC6DBF"/>
    <w:rsid w:val="00E3131E"/>
    <w:rsid w:val="00E4258F"/>
    <w:rsid w:val="00EB65F3"/>
    <w:rsid w:val="00EE1236"/>
    <w:rsid w:val="00EF0661"/>
    <w:rsid w:val="00EF640D"/>
    <w:rsid w:val="00F154F0"/>
    <w:rsid w:val="00F2277A"/>
    <w:rsid w:val="00F44A1C"/>
    <w:rsid w:val="00FC1672"/>
    <w:rsid w:val="00FD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2018-01-31T14:29:00Z</cp:lastPrinted>
  <dcterms:created xsi:type="dcterms:W3CDTF">2018-01-29T13:24:00Z</dcterms:created>
  <dcterms:modified xsi:type="dcterms:W3CDTF">2018-01-31T14:31:00Z</dcterms:modified>
</cp:coreProperties>
</file>