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8D" w:rsidRPr="00253818" w:rsidRDefault="008D128D" w:rsidP="008D128D">
      <w:pPr>
        <w:pStyle w:val="2"/>
        <w:tabs>
          <w:tab w:val="left" w:pos="993"/>
        </w:tabs>
        <w:spacing w:line="264" w:lineRule="auto"/>
        <w:ind w:firstLine="567"/>
        <w:jc w:val="center"/>
        <w:rPr>
          <w:rFonts w:ascii="Times New Roman" w:hAnsi="Times New Roman"/>
          <w:color w:val="auto"/>
          <w:sz w:val="28"/>
          <w:szCs w:val="28"/>
        </w:rPr>
      </w:pPr>
      <w:bookmarkStart w:id="0" w:name="_GoBack"/>
      <w:bookmarkEnd w:id="0"/>
      <w:r w:rsidRPr="00525F65">
        <w:rPr>
          <w:rFonts w:ascii="Times New Roman" w:hAnsi="Times New Roman"/>
          <w:color w:val="auto"/>
          <w:sz w:val="28"/>
          <w:szCs w:val="28"/>
        </w:rPr>
        <w:t>РАЗДЕЛ  I</w:t>
      </w:r>
      <w:r w:rsidR="00253818">
        <w:rPr>
          <w:rFonts w:ascii="Times New Roman" w:hAnsi="Times New Roman"/>
          <w:color w:val="auto"/>
          <w:sz w:val="28"/>
          <w:szCs w:val="28"/>
          <w:lang w:val="en-US"/>
        </w:rPr>
        <w:t>V</w:t>
      </w:r>
    </w:p>
    <w:p w:rsidR="008D128D" w:rsidRPr="00525F65" w:rsidRDefault="008D128D" w:rsidP="008D128D">
      <w:pPr>
        <w:pStyle w:val="2"/>
        <w:keepLines w:val="0"/>
        <w:tabs>
          <w:tab w:val="left" w:pos="993"/>
        </w:tabs>
        <w:spacing w:before="0" w:line="264" w:lineRule="auto"/>
        <w:ind w:firstLine="567"/>
        <w:jc w:val="center"/>
        <w:rPr>
          <w:rFonts w:ascii="Times New Roman" w:hAnsi="Times New Roman"/>
          <w:color w:val="auto"/>
          <w:sz w:val="28"/>
          <w:szCs w:val="28"/>
        </w:rPr>
      </w:pPr>
      <w:r w:rsidRPr="00525F65">
        <w:rPr>
          <w:rFonts w:ascii="Times New Roman" w:hAnsi="Times New Roman"/>
          <w:color w:val="auto"/>
          <w:sz w:val="28"/>
          <w:szCs w:val="28"/>
        </w:rPr>
        <w:t>УСЛОВИЯ ЗА УЧАСТИЕ В ПРОЦЕДУРАТА</w:t>
      </w:r>
    </w:p>
    <w:p w:rsidR="008D128D" w:rsidRPr="00525F65" w:rsidRDefault="008D128D" w:rsidP="008D128D">
      <w:pPr>
        <w:tabs>
          <w:tab w:val="left" w:pos="993"/>
        </w:tabs>
        <w:spacing w:line="264" w:lineRule="auto"/>
        <w:ind w:firstLine="567"/>
        <w:rPr>
          <w:b/>
        </w:rPr>
      </w:pPr>
    </w:p>
    <w:p w:rsidR="008D128D" w:rsidRPr="00525F65" w:rsidRDefault="008D128D" w:rsidP="00AD4824">
      <w:pPr>
        <w:pStyle w:val="3"/>
        <w:numPr>
          <w:ilvl w:val="0"/>
          <w:numId w:val="1"/>
        </w:numPr>
        <w:tabs>
          <w:tab w:val="left" w:pos="993"/>
        </w:tabs>
        <w:spacing w:before="60" w:afterLines="60" w:after="144" w:line="264" w:lineRule="auto"/>
        <w:ind w:left="0" w:firstLine="567"/>
        <w:jc w:val="both"/>
        <w:rPr>
          <w:sz w:val="24"/>
          <w:szCs w:val="24"/>
        </w:rPr>
      </w:pPr>
      <w:r w:rsidRPr="00525F65">
        <w:rPr>
          <w:sz w:val="24"/>
          <w:szCs w:val="24"/>
        </w:rPr>
        <w:t xml:space="preserve">Участник в настоящата открита процедура за възлагане на обществена поръчка по реда по ЗОП може да бъде всяко българско или чуждестранно физическо или юридическо лице, както и техни обединения,  което отговаря на условията, посочени в Закона за обществени поръчки (ЗОП) и обявените изисквания от Възложителя в документацията за участие. </w:t>
      </w:r>
    </w:p>
    <w:p w:rsidR="008D128D" w:rsidRPr="00525F65" w:rsidRDefault="008D128D" w:rsidP="00AD4824">
      <w:pPr>
        <w:pStyle w:val="3"/>
        <w:numPr>
          <w:ilvl w:val="0"/>
          <w:numId w:val="1"/>
        </w:numPr>
        <w:tabs>
          <w:tab w:val="left" w:pos="993"/>
        </w:tabs>
        <w:spacing w:before="60" w:afterLines="60" w:after="144" w:line="264" w:lineRule="auto"/>
        <w:ind w:left="0" w:firstLine="567"/>
        <w:jc w:val="both"/>
        <w:rPr>
          <w:sz w:val="24"/>
          <w:szCs w:val="24"/>
        </w:rPr>
      </w:pPr>
      <w:r w:rsidRPr="00525F65">
        <w:rPr>
          <w:sz w:val="24"/>
          <w:szCs w:val="24"/>
        </w:rPr>
        <w:t>Участниците–юридически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8D128D" w:rsidRPr="00525F65" w:rsidRDefault="008D128D" w:rsidP="00AD4824">
      <w:pPr>
        <w:pStyle w:val="3"/>
        <w:numPr>
          <w:ilvl w:val="0"/>
          <w:numId w:val="1"/>
        </w:numPr>
        <w:tabs>
          <w:tab w:val="left" w:pos="993"/>
        </w:tabs>
        <w:spacing w:before="60" w:afterLines="60" w:after="144" w:line="264" w:lineRule="auto"/>
        <w:ind w:left="0" w:firstLine="567"/>
        <w:jc w:val="both"/>
        <w:rPr>
          <w:sz w:val="24"/>
          <w:szCs w:val="24"/>
        </w:rPr>
      </w:pPr>
      <w:r w:rsidRPr="00525F65">
        <w:rPr>
          <w:sz w:val="24"/>
          <w:szCs w:val="24"/>
        </w:rPr>
        <w:t xml:space="preserve">В случай, че участникът е обединение (или консорциум)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Възложителят не изисква обединенията да имат определена правна форма, за да могат да представят оферта. Участник не може да бъде отстранен от процедурата за възлагане на обществената поръчка на основание на неговия статут или правната му форма, когато той или участниците в обединението имат право да предоставят съответната услуга в държавата членка, в която са установени. </w:t>
      </w:r>
    </w:p>
    <w:p w:rsidR="008D128D" w:rsidRPr="00525F65" w:rsidRDefault="008D128D" w:rsidP="00AD4824">
      <w:pPr>
        <w:pStyle w:val="3"/>
        <w:numPr>
          <w:ilvl w:val="0"/>
          <w:numId w:val="1"/>
        </w:numPr>
        <w:tabs>
          <w:tab w:val="left" w:pos="993"/>
        </w:tabs>
        <w:spacing w:before="60" w:afterLines="60" w:after="144" w:line="264" w:lineRule="auto"/>
        <w:ind w:left="0" w:firstLine="567"/>
        <w:jc w:val="both"/>
        <w:rPr>
          <w:sz w:val="24"/>
          <w:szCs w:val="24"/>
        </w:rPr>
      </w:pPr>
      <w:r w:rsidRPr="00525F65">
        <w:rPr>
          <w:sz w:val="24"/>
          <w:szCs w:val="24"/>
        </w:rPr>
        <w:t>За участниците – обединения,които не са юридически лица следва да бъдат спазени изискванията съгласно чл. 56, ал. 3 на ЗОП.</w:t>
      </w:r>
    </w:p>
    <w:p w:rsidR="008D128D" w:rsidRPr="00A82D44" w:rsidRDefault="008D128D" w:rsidP="008D128D">
      <w:pPr>
        <w:numPr>
          <w:ilvl w:val="0"/>
          <w:numId w:val="1"/>
        </w:numPr>
        <w:tabs>
          <w:tab w:val="clear" w:pos="502"/>
          <w:tab w:val="left" w:pos="851"/>
        </w:tabs>
        <w:ind w:left="0" w:firstLine="567"/>
      </w:pPr>
      <w:r w:rsidRPr="00525F65">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Свързани лица или свързани предприятия не може да бъдат самостоятелни участници в настоящата процедура.</w:t>
      </w:r>
      <w:r w:rsidRPr="00A82D44">
        <w:t>Не могат да участват в процедурата и лица, за които са налице обстоятелства по чл. 8, ал. 8, т. 2 ЗОП.</w:t>
      </w:r>
    </w:p>
    <w:p w:rsidR="008D128D" w:rsidRPr="00525F65" w:rsidRDefault="008D128D" w:rsidP="00AD4824">
      <w:pPr>
        <w:pStyle w:val="3"/>
        <w:numPr>
          <w:ilvl w:val="0"/>
          <w:numId w:val="1"/>
        </w:numPr>
        <w:tabs>
          <w:tab w:val="left" w:pos="993"/>
        </w:tabs>
        <w:spacing w:beforeLines="60" w:before="144" w:afterLines="60" w:after="144" w:line="264" w:lineRule="auto"/>
        <w:ind w:left="0" w:firstLine="567"/>
        <w:jc w:val="both"/>
        <w:rPr>
          <w:sz w:val="24"/>
          <w:szCs w:val="24"/>
        </w:rPr>
      </w:pPr>
      <w:r w:rsidRPr="00525F65">
        <w:rPr>
          <w:sz w:val="24"/>
          <w:szCs w:val="24"/>
        </w:rPr>
        <w:t xml:space="preserve">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т.е. само от тези участници в обединението, чрез които обединението доказва съответствието си с критериите за подбор по чл.25, ал.2, т.6 от ЗОП. </w:t>
      </w:r>
    </w:p>
    <w:p w:rsidR="008D128D" w:rsidRPr="00525F65" w:rsidRDefault="008D128D" w:rsidP="00AD4824">
      <w:pPr>
        <w:pStyle w:val="3"/>
        <w:numPr>
          <w:ilvl w:val="0"/>
          <w:numId w:val="1"/>
        </w:numPr>
        <w:tabs>
          <w:tab w:val="left" w:pos="993"/>
        </w:tabs>
        <w:spacing w:beforeLines="60" w:before="144" w:afterLines="60" w:after="144" w:line="264" w:lineRule="auto"/>
        <w:ind w:left="0" w:firstLine="567"/>
        <w:jc w:val="both"/>
        <w:rPr>
          <w:sz w:val="24"/>
          <w:szCs w:val="24"/>
        </w:rPr>
      </w:pPr>
      <w:r w:rsidRPr="00525F65">
        <w:rPr>
          <w:sz w:val="24"/>
          <w:szCs w:val="24"/>
        </w:rPr>
        <w:t xml:space="preserve">С офертата си участниците може без ограничения да предлагат ползването на подизпълнители. Участникът е длъжен да заяви дали за изпълнение на поръчката ще ползва подизпълнители. Когато участникът предвижда участието на подизпълнители при изпълнение на поръчката, той следва да заяви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  </w:t>
      </w:r>
    </w:p>
    <w:p w:rsidR="008D128D" w:rsidRPr="00525F65" w:rsidRDefault="008D128D" w:rsidP="00AD4824">
      <w:pPr>
        <w:pStyle w:val="3"/>
        <w:numPr>
          <w:ilvl w:val="0"/>
          <w:numId w:val="1"/>
        </w:numPr>
        <w:tabs>
          <w:tab w:val="left" w:pos="993"/>
        </w:tabs>
        <w:spacing w:beforeLines="60" w:before="144" w:afterLines="60" w:after="144" w:line="264" w:lineRule="auto"/>
        <w:ind w:left="0" w:firstLine="567"/>
        <w:jc w:val="both"/>
        <w:rPr>
          <w:sz w:val="24"/>
          <w:szCs w:val="24"/>
        </w:rPr>
      </w:pPr>
      <w:r w:rsidRPr="00525F65">
        <w:rPr>
          <w:sz w:val="24"/>
          <w:szCs w:val="24"/>
        </w:rPr>
        <w:t>Не се допуска до участие в процедурата и се отстранява участник, за когото е налице някое от следните обстоятелства:</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осъден е с влязла в сила присъда, освен ако е реабилитиран, за:</w:t>
      </w:r>
    </w:p>
    <w:p w:rsidR="008D128D" w:rsidRPr="00525F65" w:rsidRDefault="008D128D" w:rsidP="00AD4824">
      <w:pPr>
        <w:tabs>
          <w:tab w:val="left" w:pos="993"/>
        </w:tabs>
        <w:spacing w:beforeLines="60" w:before="144" w:afterLines="60" w:after="144"/>
        <w:ind w:firstLine="567"/>
        <w:jc w:val="both"/>
      </w:pPr>
      <w:r w:rsidRPr="00525F65">
        <w:t>а) престъпление против финансовата, данъчната или осигурителната система, включително изпиране на пари, по </w:t>
      </w:r>
      <w:hyperlink r:id="rId6" w:tgtFrame="_self" w:history="1">
        <w:r w:rsidRPr="00525F65">
          <w:t>чл. 253</w:t>
        </w:r>
      </w:hyperlink>
      <w:r w:rsidRPr="00525F65">
        <w:t> - </w:t>
      </w:r>
      <w:hyperlink r:id="rId7" w:tgtFrame="_self" w:history="1">
        <w:r w:rsidRPr="00525F65">
          <w:t>260</w:t>
        </w:r>
      </w:hyperlink>
      <w:r w:rsidRPr="00525F65">
        <w:t> от Наказателния кодекс;</w:t>
      </w:r>
    </w:p>
    <w:p w:rsidR="008D128D" w:rsidRPr="00525F65" w:rsidRDefault="008D128D" w:rsidP="00AD4824">
      <w:pPr>
        <w:tabs>
          <w:tab w:val="left" w:pos="993"/>
        </w:tabs>
        <w:spacing w:beforeLines="60" w:before="144" w:afterLines="60" w:after="144"/>
        <w:ind w:firstLine="567"/>
        <w:jc w:val="both"/>
      </w:pPr>
      <w:r w:rsidRPr="00525F65">
        <w:lastRenderedPageBreak/>
        <w:t>б) подкуп по </w:t>
      </w:r>
      <w:hyperlink r:id="rId8" w:tgtFrame="_self" w:history="1">
        <w:r w:rsidRPr="00525F65">
          <w:t>чл. 301</w:t>
        </w:r>
      </w:hyperlink>
      <w:r w:rsidRPr="00525F65">
        <w:t> - </w:t>
      </w:r>
      <w:hyperlink r:id="rId9" w:tgtFrame="_self" w:history="1">
        <w:r w:rsidRPr="00525F65">
          <w:t>307</w:t>
        </w:r>
      </w:hyperlink>
      <w:r w:rsidRPr="00525F65">
        <w:t> от Наказателния кодекс;</w:t>
      </w:r>
    </w:p>
    <w:p w:rsidR="008D128D" w:rsidRPr="00525F65" w:rsidRDefault="008D128D" w:rsidP="00AD4824">
      <w:pPr>
        <w:tabs>
          <w:tab w:val="left" w:pos="993"/>
        </w:tabs>
        <w:spacing w:beforeLines="60" w:before="144" w:afterLines="60" w:after="144"/>
        <w:ind w:firstLine="567"/>
        <w:jc w:val="both"/>
      </w:pPr>
      <w:r w:rsidRPr="00525F65">
        <w:t>в) участие в организирана престъпна група по </w:t>
      </w:r>
      <w:hyperlink r:id="rId10" w:tgtFrame="_self" w:history="1">
        <w:r w:rsidRPr="00525F65">
          <w:t>чл. 321</w:t>
        </w:r>
      </w:hyperlink>
      <w:r w:rsidRPr="00525F65">
        <w:t> и </w:t>
      </w:r>
      <w:hyperlink r:id="rId11" w:tgtFrame="_self" w:history="1">
        <w:r w:rsidRPr="00525F65">
          <w:t>321а</w:t>
        </w:r>
      </w:hyperlink>
      <w:r w:rsidRPr="00525F65">
        <w:t> от Наказателния кодекс;</w:t>
      </w:r>
    </w:p>
    <w:p w:rsidR="008D128D" w:rsidRPr="00525F65" w:rsidRDefault="008D128D" w:rsidP="00AD4824">
      <w:pPr>
        <w:tabs>
          <w:tab w:val="left" w:pos="993"/>
        </w:tabs>
        <w:spacing w:beforeLines="60" w:before="144" w:afterLines="60" w:after="144"/>
        <w:ind w:firstLine="567"/>
        <w:jc w:val="both"/>
      </w:pPr>
      <w:r w:rsidRPr="00525F65">
        <w:t>г) престъпление против собствеността по </w:t>
      </w:r>
      <w:hyperlink r:id="rId12" w:tgtFrame="_self" w:history="1">
        <w:r w:rsidRPr="00525F65">
          <w:t>чл. 194</w:t>
        </w:r>
      </w:hyperlink>
      <w:r w:rsidRPr="00525F65">
        <w:t> - </w:t>
      </w:r>
      <w:hyperlink r:id="rId13" w:tgtFrame="_self" w:history="1">
        <w:r w:rsidRPr="00525F65">
          <w:t>217</w:t>
        </w:r>
      </w:hyperlink>
      <w:r w:rsidRPr="00525F65">
        <w:t> от Наказателния кодекс;</w:t>
      </w:r>
    </w:p>
    <w:p w:rsidR="008D128D" w:rsidRPr="00525F65" w:rsidRDefault="008D128D" w:rsidP="00AD4824">
      <w:pPr>
        <w:tabs>
          <w:tab w:val="left" w:pos="993"/>
        </w:tabs>
        <w:spacing w:beforeLines="60" w:before="144" w:afterLines="60" w:after="144"/>
        <w:ind w:firstLine="567"/>
        <w:jc w:val="both"/>
      </w:pPr>
      <w:r w:rsidRPr="00525F65">
        <w:t>д) престъпление против стопанството по </w:t>
      </w:r>
      <w:hyperlink r:id="rId14" w:tgtFrame="_self" w:history="1">
        <w:r w:rsidRPr="00525F65">
          <w:t>чл. 219</w:t>
        </w:r>
      </w:hyperlink>
      <w:r w:rsidRPr="00525F65">
        <w:t> - </w:t>
      </w:r>
      <w:hyperlink r:id="rId15" w:tgtFrame="_self" w:history="1">
        <w:r w:rsidRPr="00525F65">
          <w:t>252</w:t>
        </w:r>
      </w:hyperlink>
      <w:r w:rsidRPr="00525F65">
        <w:t> от Наказателния кодекс;</w:t>
      </w:r>
    </w:p>
    <w:p w:rsidR="008D128D" w:rsidRPr="00525F65" w:rsidRDefault="008D128D" w:rsidP="00AD4824">
      <w:pPr>
        <w:tabs>
          <w:tab w:val="left" w:pos="993"/>
        </w:tabs>
        <w:spacing w:beforeLines="60" w:before="144" w:afterLines="60" w:after="144"/>
        <w:ind w:firstLine="567"/>
        <w:jc w:val="both"/>
      </w:pPr>
      <w:r w:rsidRPr="00525F65">
        <w:t>е)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обявен е в несъстоятелност;</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е в производство по ликвидация или се намира в подобна процедура съгласно националните закони и подзаконови актове;</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е лишен от правото да упражнява определена професия или дейност съгласно законодателството на държавата, в която е извършено нарушението;</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е виновен за неизпълнение на задължения по договор за обществена поръчка, доказано от възложителя с влязло в сила съдебно решение;</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при който лицата по чл. 47, ал. 4 от ЗОП са свързани лица с Възложителя или със служители на ръководна длъжност в неговата организация по смисъла на § 1, точка 23а от Допълнителните разпоредби на Закона за обществените поръчки;</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е сключил договор с лице по чл. 21 или чл. 22 от Закона за предотвратяване и установяване на конфликт на интереси;</w:t>
      </w:r>
    </w:p>
    <w:p w:rsidR="008D128D" w:rsidRPr="00525F65" w:rsidRDefault="008D128D" w:rsidP="00AD4824">
      <w:pPr>
        <w:pStyle w:val="a4"/>
        <w:numPr>
          <w:ilvl w:val="1"/>
          <w:numId w:val="2"/>
        </w:numPr>
        <w:tabs>
          <w:tab w:val="left" w:pos="993"/>
        </w:tabs>
        <w:spacing w:beforeLines="60" w:before="144" w:afterLines="60" w:after="144"/>
        <w:ind w:left="0" w:firstLine="567"/>
        <w:jc w:val="both"/>
      </w:pPr>
      <w:r w:rsidRPr="00525F65">
        <w:t xml:space="preserve">когато участникът е дружество регистрирано в юрисдикция с преференциален данъчен режим или е свързано с лица, регистрирани в юрисдикции с преференциален данъчен режим, освен ако са налице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8D128D" w:rsidRPr="00525F65" w:rsidRDefault="008D128D" w:rsidP="00AD4824">
      <w:pPr>
        <w:pStyle w:val="3"/>
        <w:tabs>
          <w:tab w:val="left" w:pos="540"/>
          <w:tab w:val="left" w:pos="993"/>
        </w:tabs>
        <w:spacing w:beforeLines="60" w:before="144" w:afterLines="60" w:after="144" w:line="264" w:lineRule="auto"/>
        <w:ind w:left="0" w:firstLine="567"/>
        <w:jc w:val="both"/>
        <w:rPr>
          <w:b/>
          <w:i/>
          <w:sz w:val="24"/>
          <w:szCs w:val="24"/>
        </w:rPr>
      </w:pPr>
      <w:r w:rsidRPr="00525F65">
        <w:rPr>
          <w:b/>
          <w:i/>
          <w:sz w:val="24"/>
          <w:szCs w:val="24"/>
        </w:rPr>
        <w:t>Забележка: „Свързани лица” по смисъла на § 1, т. 23а от допълнителната разпоредба на Закона за обществените поръчки са:</w:t>
      </w:r>
    </w:p>
    <w:p w:rsidR="008D128D" w:rsidRPr="00525F65" w:rsidRDefault="008D128D" w:rsidP="00AD4824">
      <w:pPr>
        <w:tabs>
          <w:tab w:val="left" w:pos="993"/>
        </w:tabs>
        <w:spacing w:beforeLines="60" w:before="144" w:afterLines="60" w:after="144"/>
        <w:ind w:firstLine="567"/>
        <w:jc w:val="both"/>
      </w:pPr>
      <w:r w:rsidRPr="00525F65">
        <w:rPr>
          <w:bCs/>
        </w:rPr>
        <w:t xml:space="preserve">а) </w:t>
      </w:r>
      <w:r w:rsidRPr="00525F65">
        <w:t>роднини по права линия без ограничение;</w:t>
      </w:r>
    </w:p>
    <w:p w:rsidR="008D128D" w:rsidRPr="00525F65" w:rsidRDefault="008D128D" w:rsidP="00AD4824">
      <w:pPr>
        <w:tabs>
          <w:tab w:val="left" w:pos="993"/>
        </w:tabs>
        <w:spacing w:beforeLines="60" w:before="144" w:afterLines="60" w:after="144"/>
        <w:ind w:firstLine="567"/>
        <w:jc w:val="both"/>
        <w:rPr>
          <w:bCs/>
        </w:rPr>
      </w:pPr>
      <w:r w:rsidRPr="00525F65">
        <w:rPr>
          <w:bCs/>
        </w:rPr>
        <w:t>б) роднини по съребрена линия до четвърта степен включително;</w:t>
      </w:r>
    </w:p>
    <w:p w:rsidR="008D128D" w:rsidRPr="00525F65" w:rsidRDefault="008D128D" w:rsidP="00AD4824">
      <w:pPr>
        <w:tabs>
          <w:tab w:val="left" w:pos="993"/>
        </w:tabs>
        <w:spacing w:beforeLines="60" w:before="144" w:afterLines="60" w:after="144"/>
        <w:ind w:firstLine="567"/>
        <w:jc w:val="both"/>
        <w:rPr>
          <w:bCs/>
        </w:rPr>
      </w:pPr>
      <w:r w:rsidRPr="00525F65">
        <w:rPr>
          <w:bCs/>
        </w:rPr>
        <w:t>в) роднини по сватовство – до втора степен включително;</w:t>
      </w:r>
    </w:p>
    <w:p w:rsidR="008D128D" w:rsidRPr="00525F65" w:rsidRDefault="008D128D" w:rsidP="00AD4824">
      <w:pPr>
        <w:tabs>
          <w:tab w:val="left" w:pos="993"/>
        </w:tabs>
        <w:spacing w:beforeLines="60" w:before="144" w:afterLines="60" w:after="144"/>
        <w:ind w:firstLine="567"/>
        <w:jc w:val="both"/>
        <w:rPr>
          <w:bCs/>
        </w:rPr>
      </w:pPr>
      <w:r w:rsidRPr="00525F65">
        <w:rPr>
          <w:bCs/>
        </w:rPr>
        <w:t>г) съпрузи или лица, които се намират във фактическо съжителство;</w:t>
      </w:r>
    </w:p>
    <w:p w:rsidR="008D128D" w:rsidRPr="00525F65" w:rsidRDefault="008D128D" w:rsidP="00AD4824">
      <w:pPr>
        <w:tabs>
          <w:tab w:val="left" w:pos="993"/>
        </w:tabs>
        <w:spacing w:beforeLines="60" w:before="144" w:afterLines="60" w:after="144"/>
        <w:ind w:firstLine="567"/>
        <w:jc w:val="both"/>
        <w:rPr>
          <w:bCs/>
        </w:rPr>
      </w:pPr>
      <w:r w:rsidRPr="00525F65">
        <w:rPr>
          <w:bCs/>
        </w:rPr>
        <w:t>д) съдружници;</w:t>
      </w:r>
    </w:p>
    <w:p w:rsidR="008D128D" w:rsidRPr="00525F65" w:rsidRDefault="008D128D" w:rsidP="00AD4824">
      <w:pPr>
        <w:tabs>
          <w:tab w:val="left" w:pos="993"/>
        </w:tabs>
        <w:spacing w:beforeLines="60" w:before="144" w:afterLines="60" w:after="144"/>
        <w:ind w:firstLine="567"/>
        <w:jc w:val="both"/>
        <w:rPr>
          <w:bCs/>
        </w:rPr>
      </w:pPr>
      <w:r w:rsidRPr="00525F65">
        <w:rPr>
          <w:bCs/>
        </w:rPr>
        <w:lastRenderedPageBreak/>
        <w:t>е) лицата, едното от които участва в управлението на дружеството на другото;</w:t>
      </w:r>
    </w:p>
    <w:p w:rsidR="008D128D" w:rsidRPr="00525F65" w:rsidRDefault="008D128D" w:rsidP="00AD4824">
      <w:pPr>
        <w:tabs>
          <w:tab w:val="left" w:pos="993"/>
        </w:tabs>
        <w:spacing w:beforeLines="60" w:before="144" w:afterLines="60" w:after="144"/>
        <w:ind w:firstLine="567"/>
        <w:jc w:val="both"/>
        <w:rPr>
          <w:bCs/>
        </w:rPr>
      </w:pPr>
      <w:r w:rsidRPr="00525F65">
        <w:rPr>
          <w:bCs/>
        </w:rPr>
        <w:t>ж) дружество и лице, което притежава повече от 5 на сто от дяловете или акциите, издадени с право на глас в дружеството.</w:t>
      </w:r>
    </w:p>
    <w:p w:rsidR="008D128D" w:rsidRPr="00525F65" w:rsidRDefault="008D128D" w:rsidP="00AD4824">
      <w:pPr>
        <w:tabs>
          <w:tab w:val="left" w:pos="993"/>
        </w:tabs>
        <w:spacing w:beforeLines="60" w:before="144" w:afterLines="60" w:after="144"/>
        <w:ind w:firstLine="567"/>
        <w:jc w:val="both"/>
        <w:rPr>
          <w:b/>
        </w:rPr>
      </w:pPr>
      <w:r w:rsidRPr="00525F65">
        <w:t>Не са свързани лица дружество, чийто капитал е 100 (сто) на сто държавна или общинска собственост, и лице, което упражнява правата на държавата, съответно на общината в това дружество</w:t>
      </w:r>
      <w:r w:rsidRPr="00525F65">
        <w:rPr>
          <w:b/>
        </w:rPr>
        <w:t>.</w:t>
      </w:r>
    </w:p>
    <w:p w:rsidR="008D128D" w:rsidRPr="00525F65" w:rsidRDefault="008D128D" w:rsidP="00AD4824">
      <w:pPr>
        <w:pStyle w:val="3"/>
        <w:tabs>
          <w:tab w:val="left" w:pos="540"/>
          <w:tab w:val="left" w:pos="993"/>
        </w:tabs>
        <w:spacing w:beforeLines="60" w:before="144" w:afterLines="60" w:after="144" w:line="264" w:lineRule="auto"/>
        <w:ind w:left="0" w:firstLine="567"/>
        <w:jc w:val="both"/>
        <w:rPr>
          <w:b/>
          <w:i/>
          <w:sz w:val="24"/>
          <w:szCs w:val="24"/>
        </w:rPr>
      </w:pPr>
      <w:r w:rsidRPr="00525F65">
        <w:rPr>
          <w:b/>
          <w:i/>
          <w:sz w:val="24"/>
          <w:szCs w:val="24"/>
        </w:rPr>
        <w:t>Забележка: „Свързано предприятие” по смисъла на § 1, т. 24 от допълнителната разпоредба на Закона за обществените поръчкие предприятие:</w:t>
      </w:r>
    </w:p>
    <w:p w:rsidR="008D128D" w:rsidRPr="00525F65" w:rsidRDefault="008D128D" w:rsidP="00AD4824">
      <w:pPr>
        <w:tabs>
          <w:tab w:val="left" w:pos="993"/>
        </w:tabs>
        <w:spacing w:beforeLines="60" w:before="144" w:afterLines="60" w:after="144"/>
        <w:ind w:firstLine="567"/>
        <w:jc w:val="both"/>
      </w:pPr>
      <w:r w:rsidRPr="00525F65">
        <w:t>а) което съставя консолидиран финансов отчет с възложител, или</w:t>
      </w:r>
    </w:p>
    <w:p w:rsidR="008D128D" w:rsidRPr="00525F65" w:rsidRDefault="008D128D" w:rsidP="00AD4824">
      <w:pPr>
        <w:tabs>
          <w:tab w:val="left" w:pos="993"/>
        </w:tabs>
        <w:spacing w:beforeLines="60" w:before="144" w:afterLines="60" w:after="144"/>
        <w:ind w:firstLine="567"/>
        <w:jc w:val="both"/>
      </w:pPr>
      <w:r w:rsidRPr="00525F65">
        <w:t>б) върху което възложителят може да упражнява пряко или непряко доминиращо влияние, или</w:t>
      </w:r>
    </w:p>
    <w:p w:rsidR="008D128D" w:rsidRPr="00525F65" w:rsidRDefault="008D128D" w:rsidP="00AD4824">
      <w:pPr>
        <w:tabs>
          <w:tab w:val="left" w:pos="993"/>
        </w:tabs>
        <w:spacing w:beforeLines="60" w:before="144" w:afterLines="60" w:after="144"/>
        <w:ind w:firstLine="567"/>
        <w:jc w:val="both"/>
      </w:pPr>
      <w:r w:rsidRPr="00525F65">
        <w:t>в) което може да упражнява доминиращо влияние върху възложител по чл. 7, т. 5 или 6 ЗОП, или</w:t>
      </w:r>
    </w:p>
    <w:p w:rsidR="008D128D" w:rsidRPr="00525F65" w:rsidRDefault="008D128D" w:rsidP="00AD4824">
      <w:pPr>
        <w:tabs>
          <w:tab w:val="left" w:pos="993"/>
        </w:tabs>
        <w:spacing w:beforeLines="60" w:before="144" w:afterLines="60" w:after="144"/>
        <w:ind w:firstLine="567"/>
        <w:jc w:val="both"/>
      </w:pPr>
      <w:r w:rsidRPr="00525F65">
        <w:t>г) което заедно с възложител по чл. 7 ЗОП е обект на доминиращото влияние на друго предприятие.</w:t>
      </w:r>
    </w:p>
    <w:p w:rsidR="008D128D" w:rsidRPr="00525F65" w:rsidRDefault="008D128D" w:rsidP="00AD4824">
      <w:pPr>
        <w:pStyle w:val="3"/>
        <w:numPr>
          <w:ilvl w:val="0"/>
          <w:numId w:val="1"/>
        </w:numPr>
        <w:tabs>
          <w:tab w:val="left" w:pos="993"/>
        </w:tabs>
        <w:spacing w:beforeLines="60" w:before="144" w:afterLines="60" w:after="144" w:line="264" w:lineRule="auto"/>
        <w:ind w:left="0" w:firstLine="567"/>
        <w:jc w:val="both"/>
        <w:rPr>
          <w:i/>
          <w:sz w:val="24"/>
          <w:szCs w:val="24"/>
        </w:rPr>
      </w:pPr>
      <w:r w:rsidRPr="00525F65">
        <w:rPr>
          <w:sz w:val="24"/>
          <w:szCs w:val="24"/>
        </w:rPr>
        <w:t xml:space="preserve">От участие се отстраняват оферти: </w:t>
      </w:r>
    </w:p>
    <w:p w:rsidR="008D128D" w:rsidRPr="00525F65" w:rsidRDefault="008D128D" w:rsidP="00AD4824">
      <w:pPr>
        <w:pStyle w:val="3"/>
        <w:tabs>
          <w:tab w:val="left" w:pos="540"/>
          <w:tab w:val="left" w:pos="993"/>
        </w:tabs>
        <w:spacing w:beforeLines="60" w:before="144" w:afterLines="60" w:after="144" w:line="264" w:lineRule="auto"/>
        <w:ind w:left="0" w:firstLine="567"/>
        <w:jc w:val="both"/>
        <w:rPr>
          <w:i/>
          <w:sz w:val="24"/>
          <w:szCs w:val="24"/>
        </w:rPr>
      </w:pPr>
      <w:r w:rsidRPr="00525F65">
        <w:rPr>
          <w:sz w:val="24"/>
          <w:szCs w:val="24"/>
        </w:rPr>
        <w:t xml:space="preserve">- които са непълни или не отговарят на предварително обявените условия в тази </w:t>
      </w:r>
      <w:r w:rsidRPr="00525F65">
        <w:rPr>
          <w:i/>
          <w:sz w:val="24"/>
          <w:szCs w:val="24"/>
        </w:rPr>
        <w:t>Документация;</w:t>
      </w:r>
    </w:p>
    <w:p w:rsidR="008D128D" w:rsidRPr="00525F65" w:rsidRDefault="008D128D" w:rsidP="00AD4824">
      <w:pPr>
        <w:pStyle w:val="3"/>
        <w:tabs>
          <w:tab w:val="left" w:pos="540"/>
          <w:tab w:val="left" w:pos="993"/>
        </w:tabs>
        <w:spacing w:beforeLines="60" w:before="144" w:afterLines="60" w:after="144" w:line="264" w:lineRule="auto"/>
        <w:ind w:left="0" w:firstLine="567"/>
        <w:jc w:val="both"/>
        <w:rPr>
          <w:sz w:val="24"/>
          <w:szCs w:val="24"/>
        </w:rPr>
      </w:pPr>
      <w:r w:rsidRPr="00525F65">
        <w:rPr>
          <w:sz w:val="24"/>
          <w:szCs w:val="24"/>
        </w:rPr>
        <w:t>- когато участникът не е представил някой от необходимите документи или информация, изискуеми по чл. 56 от ЗОП и/или документите, предвидени в настоящата документация, след като са били изискани от него от Оценителната комисия;</w:t>
      </w:r>
    </w:p>
    <w:p w:rsidR="008D128D" w:rsidRPr="00525F65" w:rsidRDefault="008D128D" w:rsidP="00AD4824">
      <w:pPr>
        <w:pStyle w:val="3"/>
        <w:tabs>
          <w:tab w:val="left" w:pos="540"/>
          <w:tab w:val="left" w:pos="993"/>
        </w:tabs>
        <w:spacing w:beforeLines="60" w:before="144" w:afterLines="60" w:after="144" w:line="264" w:lineRule="auto"/>
        <w:ind w:left="0" w:firstLine="567"/>
        <w:jc w:val="both"/>
        <w:rPr>
          <w:sz w:val="24"/>
          <w:szCs w:val="24"/>
        </w:rPr>
      </w:pPr>
      <w:r w:rsidRPr="00525F65">
        <w:rPr>
          <w:sz w:val="24"/>
          <w:szCs w:val="24"/>
        </w:rPr>
        <w:t>- когато участникът е представил оферта, която не отговаря на изискванията на чл. 57, ал. 2 от ЗОП;</w:t>
      </w:r>
    </w:p>
    <w:p w:rsidR="008D128D" w:rsidRPr="00525F65" w:rsidRDefault="008D128D" w:rsidP="00AD4824">
      <w:pPr>
        <w:pStyle w:val="3"/>
        <w:tabs>
          <w:tab w:val="left" w:pos="540"/>
          <w:tab w:val="left" w:pos="993"/>
        </w:tabs>
        <w:spacing w:beforeLines="60" w:before="144" w:afterLines="60" w:after="144" w:line="264" w:lineRule="auto"/>
        <w:ind w:left="0" w:firstLine="567"/>
        <w:jc w:val="both"/>
        <w:rPr>
          <w:sz w:val="24"/>
          <w:szCs w:val="24"/>
        </w:rPr>
      </w:pPr>
      <w:r w:rsidRPr="00525F65">
        <w:rPr>
          <w:sz w:val="24"/>
          <w:szCs w:val="24"/>
        </w:rPr>
        <w:t>- за когото по реда на чл. 68, ал. 11 от ЗОП е установено, че е представил невярна информация за доказване на съответствието му с обявените от възложителя критерии за подбор.</w:t>
      </w:r>
    </w:p>
    <w:p w:rsidR="008D128D" w:rsidRPr="00525F65" w:rsidRDefault="008D128D" w:rsidP="008D128D">
      <w:pPr>
        <w:pStyle w:val="a6"/>
        <w:tabs>
          <w:tab w:val="left" w:pos="993"/>
        </w:tabs>
        <w:spacing w:before="60" w:after="60"/>
        <w:ind w:firstLine="567"/>
        <w:rPr>
          <w:b/>
          <w:bCs/>
        </w:rPr>
      </w:pPr>
      <w:bookmarkStart w:id="1" w:name="_Toc137608176"/>
      <w:r w:rsidRPr="00525F65">
        <w:rPr>
          <w:b/>
          <w:bCs/>
        </w:rPr>
        <w:t>КОМУНИКАЦИЯ МЕЖДУ ВЪЗЛОЖИТЕЛЯ И УЧАСТНИЦИТЕ</w:t>
      </w:r>
      <w:bookmarkEnd w:id="1"/>
    </w:p>
    <w:p w:rsidR="008D128D" w:rsidRPr="00525F65" w:rsidRDefault="008D128D" w:rsidP="008D128D">
      <w:pPr>
        <w:tabs>
          <w:tab w:val="left" w:pos="993"/>
        </w:tabs>
        <w:spacing w:before="60" w:after="60"/>
        <w:ind w:firstLine="567"/>
      </w:pPr>
    </w:p>
    <w:p w:rsidR="008D128D" w:rsidRPr="00525F65" w:rsidRDefault="008D128D" w:rsidP="008D128D">
      <w:pPr>
        <w:pStyle w:val="3"/>
        <w:numPr>
          <w:ilvl w:val="0"/>
          <w:numId w:val="1"/>
        </w:numPr>
        <w:tabs>
          <w:tab w:val="left" w:pos="993"/>
          <w:tab w:val="left" w:pos="1134"/>
        </w:tabs>
        <w:spacing w:before="60" w:after="60" w:line="264" w:lineRule="auto"/>
        <w:ind w:left="0" w:firstLine="567"/>
        <w:jc w:val="both"/>
        <w:rPr>
          <w:sz w:val="24"/>
          <w:szCs w:val="24"/>
        </w:rPr>
      </w:pPr>
      <w:r w:rsidRPr="00525F65">
        <w:rPr>
          <w:sz w:val="24"/>
          <w:szCs w:val="24"/>
        </w:rPr>
        <w:t>Комуникацията и действията на Възложителя и на участниците, свързани с настоящата процедура, са в писмен вид.</w:t>
      </w:r>
    </w:p>
    <w:p w:rsidR="008D128D" w:rsidRPr="00525F65" w:rsidRDefault="008D128D" w:rsidP="008D128D">
      <w:pPr>
        <w:pStyle w:val="3"/>
        <w:numPr>
          <w:ilvl w:val="0"/>
          <w:numId w:val="1"/>
        </w:numPr>
        <w:tabs>
          <w:tab w:val="left" w:pos="993"/>
          <w:tab w:val="left" w:pos="1134"/>
        </w:tabs>
        <w:spacing w:before="60" w:after="60" w:line="264" w:lineRule="auto"/>
        <w:ind w:left="0" w:firstLine="567"/>
        <w:jc w:val="both"/>
        <w:rPr>
          <w:sz w:val="24"/>
          <w:szCs w:val="24"/>
        </w:rPr>
      </w:pPr>
      <w:r w:rsidRPr="00525F65">
        <w:rPr>
          <w:sz w:val="24"/>
          <w:szCs w:val="24"/>
        </w:rPr>
        <w:t>Обменът на информация между Възложителя и участника може да се извършва по един от следните начини:</w:t>
      </w:r>
    </w:p>
    <w:p w:rsidR="008D128D" w:rsidRPr="00525F65" w:rsidRDefault="008D128D" w:rsidP="008D128D">
      <w:pPr>
        <w:pStyle w:val="a4"/>
        <w:numPr>
          <w:ilvl w:val="1"/>
          <w:numId w:val="2"/>
        </w:numPr>
        <w:tabs>
          <w:tab w:val="left" w:pos="993"/>
          <w:tab w:val="left" w:pos="1134"/>
        </w:tabs>
        <w:spacing w:before="60" w:after="60"/>
        <w:ind w:left="0" w:firstLine="567"/>
        <w:jc w:val="both"/>
      </w:pPr>
      <w:r w:rsidRPr="00525F65">
        <w:t xml:space="preserve">по пощата - чрез препоръчано писмо с обратна разписка; </w:t>
      </w:r>
    </w:p>
    <w:p w:rsidR="008D128D" w:rsidRPr="00525F65" w:rsidRDefault="008D128D" w:rsidP="008D128D">
      <w:pPr>
        <w:pStyle w:val="a4"/>
        <w:numPr>
          <w:ilvl w:val="1"/>
          <w:numId w:val="2"/>
        </w:numPr>
        <w:tabs>
          <w:tab w:val="left" w:pos="993"/>
          <w:tab w:val="left" w:pos="1134"/>
        </w:tabs>
        <w:spacing w:before="60" w:after="60"/>
        <w:ind w:left="0" w:firstLine="567"/>
        <w:jc w:val="both"/>
      </w:pPr>
      <w:r w:rsidRPr="00525F65">
        <w:t>чрез куриерска служба;</w:t>
      </w:r>
    </w:p>
    <w:p w:rsidR="008D128D" w:rsidRPr="00525F65" w:rsidRDefault="008D128D" w:rsidP="008D128D">
      <w:pPr>
        <w:pStyle w:val="a4"/>
        <w:numPr>
          <w:ilvl w:val="1"/>
          <w:numId w:val="2"/>
        </w:numPr>
        <w:tabs>
          <w:tab w:val="left" w:pos="993"/>
          <w:tab w:val="left" w:pos="1134"/>
        </w:tabs>
        <w:spacing w:before="60" w:after="60"/>
        <w:ind w:left="0" w:firstLine="567"/>
        <w:jc w:val="both"/>
      </w:pPr>
      <w:r w:rsidRPr="00525F65">
        <w:t>по факс;</w:t>
      </w:r>
    </w:p>
    <w:p w:rsidR="008D128D" w:rsidRPr="00525F65" w:rsidRDefault="008D128D" w:rsidP="008D128D">
      <w:pPr>
        <w:pStyle w:val="a4"/>
        <w:numPr>
          <w:ilvl w:val="1"/>
          <w:numId w:val="2"/>
        </w:numPr>
        <w:tabs>
          <w:tab w:val="left" w:pos="993"/>
          <w:tab w:val="left" w:pos="1134"/>
        </w:tabs>
        <w:spacing w:before="60" w:after="60"/>
        <w:ind w:left="0" w:firstLine="567"/>
        <w:jc w:val="both"/>
      </w:pPr>
      <w:r w:rsidRPr="00525F65">
        <w:t xml:space="preserve">по електронен път при условията и по реда на </w:t>
      </w:r>
      <w:hyperlink r:id="rId16" w:history="1">
        <w:r w:rsidRPr="00525F65">
          <w:rPr>
            <w:rStyle w:val="a3"/>
          </w:rPr>
          <w:t>Закона за електронния документ и електронния подпис</w:t>
        </w:r>
      </w:hyperlink>
    </w:p>
    <w:p w:rsidR="008D128D" w:rsidRPr="00525F65" w:rsidRDefault="008D128D" w:rsidP="008D128D">
      <w:pPr>
        <w:pStyle w:val="a4"/>
        <w:numPr>
          <w:ilvl w:val="1"/>
          <w:numId w:val="2"/>
        </w:numPr>
        <w:tabs>
          <w:tab w:val="left" w:pos="993"/>
          <w:tab w:val="left" w:pos="1134"/>
        </w:tabs>
        <w:spacing w:before="60" w:after="60"/>
        <w:ind w:left="0" w:firstLine="567"/>
        <w:jc w:val="both"/>
      </w:pPr>
      <w:r w:rsidRPr="00525F65">
        <w:t>чрез комбинация от тези средства.</w:t>
      </w:r>
    </w:p>
    <w:p w:rsidR="008D128D" w:rsidRPr="00525F65" w:rsidRDefault="008D128D" w:rsidP="008D128D">
      <w:pPr>
        <w:pStyle w:val="a4"/>
        <w:tabs>
          <w:tab w:val="left" w:pos="993"/>
          <w:tab w:val="left" w:pos="1134"/>
        </w:tabs>
        <w:spacing w:before="60" w:after="60"/>
        <w:ind w:left="0" w:firstLine="567"/>
        <w:jc w:val="both"/>
        <w:rPr>
          <w:b/>
          <w:u w:val="single"/>
        </w:rPr>
      </w:pPr>
      <w:r w:rsidRPr="00525F65">
        <w:rPr>
          <w:b/>
          <w:u w:val="single"/>
        </w:rPr>
        <w:t>Възложителят ще съхранява цялата документация по провеждането на настоящата процедура за възлагане на обществената поръчка най-малко 4 години след прекратяване на процедурата или след приключване изпълнението на договор.</w:t>
      </w:r>
    </w:p>
    <w:p w:rsidR="008D128D" w:rsidRPr="00525F65" w:rsidRDefault="008D128D" w:rsidP="008D128D">
      <w:pPr>
        <w:pStyle w:val="3"/>
        <w:numPr>
          <w:ilvl w:val="0"/>
          <w:numId w:val="1"/>
        </w:numPr>
        <w:tabs>
          <w:tab w:val="left" w:pos="993"/>
          <w:tab w:val="left" w:pos="1134"/>
        </w:tabs>
        <w:spacing w:before="60" w:after="60" w:line="264" w:lineRule="auto"/>
        <w:ind w:left="0" w:firstLine="567"/>
        <w:jc w:val="both"/>
        <w:rPr>
          <w:sz w:val="24"/>
          <w:szCs w:val="24"/>
        </w:rPr>
      </w:pPr>
      <w:r w:rsidRPr="00525F65">
        <w:rPr>
          <w:sz w:val="24"/>
          <w:szCs w:val="24"/>
        </w:rPr>
        <w:t>При сключването на договора за обществената поръчка Възложителят може да посочи коя част от информацията, която предоставя, има конфиденциален характер. Участниците нямат право да разкриват тази информация.</w:t>
      </w:r>
    </w:p>
    <w:p w:rsidR="008D128D" w:rsidRPr="00525F65" w:rsidRDefault="008D128D" w:rsidP="008D128D">
      <w:pPr>
        <w:pStyle w:val="3"/>
        <w:numPr>
          <w:ilvl w:val="0"/>
          <w:numId w:val="1"/>
        </w:numPr>
        <w:tabs>
          <w:tab w:val="left" w:pos="993"/>
        </w:tabs>
        <w:spacing w:before="60" w:after="60" w:line="264" w:lineRule="auto"/>
        <w:ind w:left="0" w:firstLine="567"/>
        <w:jc w:val="both"/>
        <w:rPr>
          <w:bCs/>
        </w:rPr>
      </w:pPr>
      <w:r w:rsidRPr="00525F65">
        <w:rPr>
          <w:sz w:val="24"/>
          <w:szCs w:val="24"/>
        </w:rPr>
        <w:t>При подаване на офертата си участникът също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на изпълнение на задължението от Възложителя да изпрати информация за сключения договор до Регистъра за обществени поръчки.</w:t>
      </w:r>
    </w:p>
    <w:p w:rsidR="008D128D" w:rsidRPr="008D128D" w:rsidRDefault="008D128D" w:rsidP="008D128D">
      <w:pPr>
        <w:pStyle w:val="3"/>
        <w:tabs>
          <w:tab w:val="left" w:pos="993"/>
          <w:tab w:val="left" w:pos="1134"/>
        </w:tabs>
        <w:spacing w:before="60" w:after="60" w:line="264" w:lineRule="auto"/>
        <w:ind w:left="142"/>
        <w:jc w:val="both"/>
        <w:rPr>
          <w:sz w:val="24"/>
          <w:szCs w:val="24"/>
          <w:highlight w:val="yellow"/>
          <w:lang w:val="en-US"/>
        </w:rPr>
      </w:pPr>
      <w:r w:rsidRPr="00525F65">
        <w:rPr>
          <w:b/>
          <w:color w:val="000000"/>
          <w:sz w:val="24"/>
          <w:szCs w:val="24"/>
          <w:shd w:val="clear" w:color="auto" w:fill="FFFFFF"/>
        </w:rPr>
        <w:t>14.</w:t>
      </w:r>
      <w:r w:rsidRPr="00525F65">
        <w:rPr>
          <w:color w:val="000000"/>
          <w:sz w:val="24"/>
          <w:szCs w:val="24"/>
          <w:shd w:val="clear" w:color="auto" w:fill="FFFFFF"/>
        </w:rPr>
        <w:t xml:space="preserve"> 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w:t>
      </w:r>
      <w:r w:rsidRPr="00525F65">
        <w:rPr>
          <w:rStyle w:val="apple-converted-space"/>
          <w:color w:val="000000"/>
          <w:sz w:val="24"/>
          <w:szCs w:val="24"/>
          <w:shd w:val="clear" w:color="auto" w:fill="FFFFFF"/>
        </w:rPr>
        <w:t> </w:t>
      </w:r>
      <w:hyperlink r:id="rId17" w:tgtFrame="_self" w:history="1">
        <w:r w:rsidRPr="00525F65">
          <w:rPr>
            <w:rStyle w:val="a3"/>
            <w:sz w:val="24"/>
            <w:szCs w:val="24"/>
            <w:shd w:val="clear" w:color="auto" w:fill="FFFFFF"/>
          </w:rPr>
          <w:t>Закона за електронния документ и електронния подпис</w:t>
        </w:r>
      </w:hyperlink>
      <w:r w:rsidRPr="00525F65">
        <w:rPr>
          <w:sz w:val="24"/>
          <w:szCs w:val="24"/>
        </w:rPr>
        <w:t xml:space="preserve">. Възложителят може, по собствена инициатива или по сигнал за нередност, еднократно да направи промени в обявлението и/или документацията на обществената поръчка, свързани с осигуряване законосъобразност на процедурата, отстраняване на пропуски или явна фактическа грешка. Всяко лице може да направи предложение за промени в обявлението и/или документацията в 10-дневен срок от публикуването на обявлението за откриване на процедурата. Промените се извършват, чрез решение за промяна до 14 дни от публикуването на обявлението в Регистъра на обществените поръчки. </w:t>
      </w:r>
      <w:r w:rsidRPr="00525F65">
        <w:rPr>
          <w:b/>
          <w:sz w:val="24"/>
          <w:szCs w:val="24"/>
        </w:rPr>
        <w:t>Решението и променените документи се публикуват в профила на купувача в първия работен ден, следващ деня на изпращането им в агенцията.</w:t>
      </w:r>
      <w:r w:rsidRPr="00525F65">
        <w:rPr>
          <w:sz w:val="24"/>
          <w:szCs w:val="24"/>
        </w:rPr>
        <w:t xml:space="preserve"> С решението за промяна възложителят няма право да променя дейностите по обявения предмет на поръчката. В решението възложителят определя и нов срок за получаване на оферти, който не може да бъде по-кратък от първоначално определения. Възложителят може да не определя нов срок, когато промените не засягат критериите за подбор, изискванията към офертата или изпълнението на поръчката. След изтичането на 14-дневния срок от публикуване на обявлението за откриване на процедурата възложителят може да публикува решение за промяна само когато удължава обявените срокове в процедурата. С публикуването на решение за промяна в Регистъра на обществените поръчки се смята, че всички заинтересовани лица са уведомени. Възложителят ще публикува решението за промяна и ще предостави безплатно променената </w:t>
      </w:r>
      <w:r w:rsidRPr="00525F65">
        <w:rPr>
          <w:sz w:val="24"/>
        </w:rPr>
        <w:t xml:space="preserve">документация на профила на купувача в първия работен ден, следващ деня на изпращането им в агенцията </w:t>
      </w:r>
      <w:r>
        <w:rPr>
          <w:sz w:val="24"/>
          <w:szCs w:val="24"/>
        </w:rPr>
        <w:t>–</w:t>
      </w:r>
      <w:r>
        <w:rPr>
          <w:rStyle w:val="a3"/>
          <w:sz w:val="24"/>
          <w:szCs w:val="24"/>
          <w:lang w:val="en-US"/>
        </w:rPr>
        <w:t>www.pernik.bg</w:t>
      </w:r>
    </w:p>
    <w:p w:rsidR="008D128D" w:rsidRPr="00525F65" w:rsidRDefault="008D128D" w:rsidP="008D128D">
      <w:pPr>
        <w:pStyle w:val="3"/>
        <w:tabs>
          <w:tab w:val="left" w:pos="540"/>
          <w:tab w:val="left" w:pos="993"/>
        </w:tabs>
        <w:spacing w:before="60" w:after="60" w:line="264" w:lineRule="auto"/>
        <w:ind w:left="0" w:firstLine="567"/>
        <w:jc w:val="both"/>
        <w:rPr>
          <w:sz w:val="24"/>
          <w:szCs w:val="24"/>
        </w:rPr>
      </w:pPr>
    </w:p>
    <w:p w:rsidR="008D128D" w:rsidRPr="00525F65" w:rsidRDefault="008D128D" w:rsidP="008D128D">
      <w:pPr>
        <w:tabs>
          <w:tab w:val="left" w:pos="993"/>
        </w:tabs>
        <w:spacing w:before="60" w:after="60"/>
        <w:ind w:firstLine="567"/>
        <w:jc w:val="center"/>
        <w:rPr>
          <w:b/>
          <w:iCs/>
          <w:color w:val="000000"/>
          <w:spacing w:val="2"/>
        </w:rPr>
      </w:pPr>
      <w:r w:rsidRPr="00525F65">
        <w:rPr>
          <w:b/>
          <w:iCs/>
          <w:color w:val="000000"/>
          <w:spacing w:val="2"/>
        </w:rPr>
        <w:t>ПРОГНОЗНА СТОЙНОСТ НА ПОРЪЧКАТА</w:t>
      </w:r>
    </w:p>
    <w:p w:rsidR="008D128D" w:rsidRPr="00525F65" w:rsidRDefault="008D128D" w:rsidP="008D128D">
      <w:pPr>
        <w:spacing w:after="100"/>
        <w:ind w:left="142" w:firstLine="218"/>
        <w:jc w:val="both"/>
      </w:pPr>
      <w:bookmarkStart w:id="2" w:name="_Ref93592638"/>
      <w:bookmarkStart w:id="3" w:name="_Toc137608181"/>
      <w:r w:rsidRPr="00525F65">
        <w:rPr>
          <w:b/>
        </w:rPr>
        <w:tab/>
        <w:t>15.</w:t>
      </w:r>
      <w:r w:rsidRPr="00525F65">
        <w:t xml:space="preserve"> Максималният разполагаем финансов ресурс на Възложителя за изпълнение на предмета на настоящата поръчка е в размер на </w:t>
      </w:r>
      <w:r w:rsidR="00D170D2">
        <w:rPr>
          <w:b/>
          <w:lang w:val="en-US"/>
        </w:rPr>
        <w:t>2</w:t>
      </w:r>
      <w:r w:rsidR="00876AAF" w:rsidRPr="00876AAF">
        <w:rPr>
          <w:b/>
          <w:lang w:val="en-US"/>
        </w:rPr>
        <w:t xml:space="preserve"> </w:t>
      </w:r>
      <w:r w:rsidR="00D170D2">
        <w:rPr>
          <w:b/>
          <w:lang w:val="en-US"/>
        </w:rPr>
        <w:t>610</w:t>
      </w:r>
      <w:r w:rsidR="00876AAF">
        <w:rPr>
          <w:lang w:val="en-US"/>
        </w:rPr>
        <w:t xml:space="preserve"> </w:t>
      </w:r>
      <w:r w:rsidRPr="00525F65">
        <w:rPr>
          <w:b/>
        </w:rPr>
        <w:t>000 (</w:t>
      </w:r>
      <w:r w:rsidR="00D170D2">
        <w:rPr>
          <w:b/>
          <w:lang w:val="en-US"/>
        </w:rPr>
        <w:t>два</w:t>
      </w:r>
      <w:r w:rsidR="00876AAF">
        <w:rPr>
          <w:b/>
          <w:lang w:val="en-US"/>
        </w:rPr>
        <w:t xml:space="preserve"> </w:t>
      </w:r>
      <w:r w:rsidRPr="00525F65">
        <w:rPr>
          <w:b/>
        </w:rPr>
        <w:t>милион</w:t>
      </w:r>
      <w:r w:rsidR="00D170D2">
        <w:rPr>
          <w:b/>
        </w:rPr>
        <w:t>а</w:t>
      </w:r>
      <w:r w:rsidR="00876AAF">
        <w:rPr>
          <w:b/>
        </w:rPr>
        <w:t xml:space="preserve">  </w:t>
      </w:r>
      <w:r w:rsidR="00D170D2">
        <w:rPr>
          <w:b/>
        </w:rPr>
        <w:t>шест</w:t>
      </w:r>
      <w:r w:rsidR="00876AAF">
        <w:rPr>
          <w:b/>
        </w:rPr>
        <w:t xml:space="preserve">стотин </w:t>
      </w:r>
      <w:r w:rsidR="00D170D2">
        <w:rPr>
          <w:b/>
        </w:rPr>
        <w:t xml:space="preserve">и </w:t>
      </w:r>
      <w:r w:rsidR="00876AAF">
        <w:rPr>
          <w:b/>
        </w:rPr>
        <w:t>десет</w:t>
      </w:r>
      <w:r w:rsidR="00D170D2">
        <w:rPr>
          <w:b/>
        </w:rPr>
        <w:t xml:space="preserve"> хиляд</w:t>
      </w:r>
      <w:r w:rsidR="00876AAF">
        <w:rPr>
          <w:b/>
        </w:rPr>
        <w:t>и</w:t>
      </w:r>
      <w:r w:rsidRPr="00525F65">
        <w:rPr>
          <w:b/>
        </w:rPr>
        <w:t>) лева</w:t>
      </w:r>
      <w:r w:rsidR="00876AAF">
        <w:rPr>
          <w:b/>
          <w:lang w:val="en-US"/>
        </w:rPr>
        <w:t xml:space="preserve"> </w:t>
      </w:r>
      <w:r w:rsidR="004C3CD6">
        <w:rPr>
          <w:b/>
        </w:rPr>
        <w:t>без</w:t>
      </w:r>
      <w:r w:rsidRPr="00525F65">
        <w:rPr>
          <w:b/>
        </w:rPr>
        <w:t xml:space="preserve"> включен ДДС</w:t>
      </w:r>
      <w:r w:rsidRPr="00525F65">
        <w:t xml:space="preserve"> общо за </w:t>
      </w:r>
      <w:r w:rsidR="00876AAF">
        <w:t>2</w:t>
      </w:r>
      <w:r>
        <w:rPr>
          <w:b/>
        </w:rPr>
        <w:t xml:space="preserve"> (</w:t>
      </w:r>
      <w:r w:rsidR="00876AAF">
        <w:rPr>
          <w:b/>
        </w:rPr>
        <w:t>две)</w:t>
      </w:r>
      <w:r w:rsidRPr="00525F65">
        <w:rPr>
          <w:b/>
        </w:rPr>
        <w:t xml:space="preserve"> години</w:t>
      </w:r>
      <w:r w:rsidRPr="00525F65">
        <w:t xml:space="preserve"> и не може да надхвърля гласувания от  Общински съвет финансов ресурс за този вид дейност в годишния бюджет.</w:t>
      </w:r>
    </w:p>
    <w:p w:rsidR="008D128D" w:rsidRPr="00525F65" w:rsidRDefault="008D128D" w:rsidP="008D128D">
      <w:pPr>
        <w:spacing w:after="100"/>
        <w:ind w:left="142" w:firstLine="218"/>
        <w:jc w:val="both"/>
        <w:rPr>
          <w:b/>
          <w:i/>
        </w:rPr>
      </w:pPr>
      <w:r w:rsidRPr="00525F65">
        <w:rPr>
          <w:b/>
          <w:bCs/>
          <w:i/>
        </w:rPr>
        <w:tab/>
        <w:t xml:space="preserve">ВАЖНО!!!: Настоящата поръчка е разделена на </w:t>
      </w:r>
      <w:r w:rsidR="00876AAF">
        <w:rPr>
          <w:b/>
          <w:bCs/>
          <w:i/>
        </w:rPr>
        <w:t>4</w:t>
      </w:r>
      <w:r w:rsidRPr="00525F65">
        <w:rPr>
          <w:b/>
          <w:bCs/>
          <w:i/>
        </w:rPr>
        <w:t xml:space="preserve"> обособени позиции</w:t>
      </w:r>
      <w:r w:rsidRPr="00525F65">
        <w:rPr>
          <w:b/>
          <w:i/>
        </w:rPr>
        <w:t xml:space="preserve">. </w:t>
      </w:r>
    </w:p>
    <w:p w:rsidR="008D128D" w:rsidRPr="00525F65" w:rsidRDefault="008D128D" w:rsidP="008D128D">
      <w:pPr>
        <w:tabs>
          <w:tab w:val="left" w:pos="993"/>
        </w:tabs>
        <w:spacing w:after="100"/>
        <w:ind w:left="142"/>
        <w:jc w:val="both"/>
      </w:pPr>
      <w:r w:rsidRPr="00525F65">
        <w:t xml:space="preserve"> Общата прогнозна стойност на поръчката е сформирана като сбор от прогнозните стойности по </w:t>
      </w:r>
      <w:r w:rsidR="00876AAF">
        <w:t>4</w:t>
      </w:r>
      <w:r w:rsidRPr="00525F65">
        <w:t>-те обособени позиции, както следва:</w:t>
      </w:r>
    </w:p>
    <w:p w:rsidR="008D128D" w:rsidRPr="00525F65" w:rsidRDefault="008D128D" w:rsidP="008D128D">
      <w:pPr>
        <w:ind w:left="142" w:firstLine="566"/>
        <w:rPr>
          <w:rStyle w:val="timark"/>
          <w:b/>
          <w:bCs/>
        </w:rPr>
      </w:pPr>
      <w:r w:rsidRPr="00525F65">
        <w:rPr>
          <w:rStyle w:val="timark"/>
          <w:b/>
          <w:bCs/>
        </w:rPr>
        <w:t xml:space="preserve">За ОП 1 – прогнозна стойност за всички дейности включени в предмета за целия срок на договора не може да надхвърля </w:t>
      </w:r>
      <w:r w:rsidR="00D170D2">
        <w:rPr>
          <w:rStyle w:val="timark"/>
          <w:b/>
          <w:bCs/>
        </w:rPr>
        <w:t>550</w:t>
      </w:r>
      <w:r w:rsidRPr="00525F65">
        <w:rPr>
          <w:rStyle w:val="timark"/>
          <w:b/>
          <w:bCs/>
        </w:rPr>
        <w:t xml:space="preserve"> 000  лв. (</w:t>
      </w:r>
      <w:r w:rsidR="00D170D2">
        <w:rPr>
          <w:rStyle w:val="timark"/>
          <w:b/>
          <w:bCs/>
        </w:rPr>
        <w:t xml:space="preserve">петстотин и петдесет </w:t>
      </w:r>
      <w:r w:rsidR="002F23F6">
        <w:rPr>
          <w:rStyle w:val="timark"/>
          <w:b/>
          <w:bCs/>
        </w:rPr>
        <w:t xml:space="preserve"> хиляди</w:t>
      </w:r>
      <w:r w:rsidR="00D170D2">
        <w:rPr>
          <w:rStyle w:val="timark"/>
          <w:b/>
          <w:bCs/>
        </w:rPr>
        <w:t xml:space="preserve"> лева) без</w:t>
      </w:r>
      <w:r w:rsidRPr="00525F65">
        <w:rPr>
          <w:rStyle w:val="timark"/>
          <w:b/>
          <w:bCs/>
        </w:rPr>
        <w:t xml:space="preserve"> ДДС.</w:t>
      </w:r>
    </w:p>
    <w:p w:rsidR="008D128D" w:rsidRPr="00525F65" w:rsidRDefault="008D128D" w:rsidP="008D128D">
      <w:pPr>
        <w:ind w:left="142"/>
        <w:jc w:val="both"/>
        <w:rPr>
          <w:rStyle w:val="timark"/>
          <w:b/>
          <w:bCs/>
        </w:rPr>
      </w:pPr>
    </w:p>
    <w:p w:rsidR="008D128D" w:rsidRPr="00525F65" w:rsidRDefault="008D128D" w:rsidP="008D128D">
      <w:pPr>
        <w:ind w:left="142" w:firstLine="566"/>
        <w:jc w:val="both"/>
      </w:pPr>
      <w:r w:rsidRPr="00525F65">
        <w:t xml:space="preserve">Поддържане и почистване на съществуващи озеленени площи и прилежащи алеи и площадки на паркове, градини, скверове, междублокови пространства, разделителни ивици, крайпътно и крайулично озеленяване, декоративна дървесна, храстова и тревна растителност, включително паркови елементи, детски площадки, поливни системи, както и извършване на дейности по изграждане на нови зелени площи </w:t>
      </w:r>
      <w:r w:rsidR="00F155A1">
        <w:t xml:space="preserve">и поливни системи </w:t>
      </w:r>
      <w:r w:rsidRPr="00525F65">
        <w:t>на територията на ОП 1 ще става на база конкретни възлагания, като общия обем възлагания не може да надхвъля финансовата рамка, определена от Общинския съвет за съответната календарна година.</w:t>
      </w:r>
    </w:p>
    <w:p w:rsidR="008D128D" w:rsidRPr="00525F65" w:rsidRDefault="008D128D" w:rsidP="008D128D">
      <w:pPr>
        <w:ind w:left="142"/>
        <w:rPr>
          <w:rStyle w:val="timark"/>
          <w:b/>
          <w:bCs/>
        </w:rPr>
      </w:pPr>
    </w:p>
    <w:p w:rsidR="008D128D" w:rsidRPr="00525F65" w:rsidRDefault="008D128D" w:rsidP="004C3CD6">
      <w:pPr>
        <w:ind w:left="142" w:firstLine="566"/>
        <w:jc w:val="both"/>
        <w:rPr>
          <w:rStyle w:val="timark"/>
          <w:b/>
          <w:bCs/>
        </w:rPr>
      </w:pPr>
      <w:r w:rsidRPr="00525F65">
        <w:rPr>
          <w:rStyle w:val="timark"/>
          <w:b/>
          <w:bCs/>
        </w:rPr>
        <w:t xml:space="preserve">За ОП 2 – прогнозна стойност за всички дейности включени в предмета за целия срок на договора - </w:t>
      </w:r>
      <w:r w:rsidR="00D170D2">
        <w:rPr>
          <w:rStyle w:val="timark"/>
          <w:b/>
          <w:bCs/>
        </w:rPr>
        <w:t>580</w:t>
      </w:r>
      <w:r w:rsidR="002F23F6" w:rsidRPr="00525F65">
        <w:rPr>
          <w:rStyle w:val="timark"/>
          <w:b/>
          <w:bCs/>
        </w:rPr>
        <w:t xml:space="preserve"> 000  лв. (</w:t>
      </w:r>
      <w:r w:rsidR="00D170D2">
        <w:rPr>
          <w:rStyle w:val="timark"/>
          <w:b/>
          <w:bCs/>
        </w:rPr>
        <w:t>пет</w:t>
      </w:r>
      <w:r w:rsidR="002F23F6">
        <w:rPr>
          <w:rStyle w:val="timark"/>
          <w:b/>
          <w:bCs/>
        </w:rPr>
        <w:t xml:space="preserve">стотин и </w:t>
      </w:r>
      <w:r w:rsidR="00D170D2">
        <w:rPr>
          <w:rStyle w:val="timark"/>
          <w:b/>
          <w:bCs/>
        </w:rPr>
        <w:t>осем</w:t>
      </w:r>
      <w:r w:rsidR="002F23F6">
        <w:rPr>
          <w:rStyle w:val="timark"/>
          <w:b/>
          <w:bCs/>
        </w:rPr>
        <w:t>десет хиляди</w:t>
      </w:r>
      <w:r w:rsidR="002F23F6" w:rsidRPr="00525F65">
        <w:rPr>
          <w:rStyle w:val="timark"/>
          <w:b/>
          <w:bCs/>
        </w:rPr>
        <w:t xml:space="preserve"> лева) </w:t>
      </w:r>
      <w:r w:rsidR="00D170D2">
        <w:rPr>
          <w:rStyle w:val="timark"/>
          <w:b/>
          <w:bCs/>
        </w:rPr>
        <w:t>без</w:t>
      </w:r>
      <w:r w:rsidR="002F23F6" w:rsidRPr="00525F65">
        <w:rPr>
          <w:rStyle w:val="timark"/>
          <w:b/>
          <w:bCs/>
        </w:rPr>
        <w:t xml:space="preserve"> ДДС.</w:t>
      </w:r>
    </w:p>
    <w:p w:rsidR="008D128D" w:rsidRPr="00525F65" w:rsidRDefault="008D128D" w:rsidP="008D128D">
      <w:pPr>
        <w:ind w:left="142"/>
        <w:jc w:val="both"/>
      </w:pPr>
      <w:r w:rsidRPr="00525F65">
        <w:t xml:space="preserve">Поддържане и почистване на съществуващи озеленени площи и прилежащи алеи и площадки на паркове, градини, скверове, междублокови пространства, разделителни ивици, крайпътно и крайулично озеленяване, декоративна дървесна, храстова и тревна растителност, включително паркови елементи, детски площадки, поливни системи, както и извършване на дейности по изграждане на нови зелени площи </w:t>
      </w:r>
      <w:r w:rsidR="00F155A1">
        <w:t xml:space="preserve">и поливни системи </w:t>
      </w:r>
      <w:r w:rsidRPr="00525F65">
        <w:t>на територията на ОП 2 ще става на на база конкретни възлагания, като общия обем възлагания не може да  надхвъля финансовата рамка определена от Общинския съвет за съответната календарна година.</w:t>
      </w:r>
    </w:p>
    <w:p w:rsidR="008D128D" w:rsidRPr="00525F65" w:rsidRDefault="008D128D" w:rsidP="008D128D">
      <w:pPr>
        <w:ind w:left="142"/>
        <w:rPr>
          <w:rStyle w:val="timark"/>
          <w:b/>
          <w:bCs/>
        </w:rPr>
      </w:pPr>
    </w:p>
    <w:p w:rsidR="008D128D" w:rsidRPr="00525F65" w:rsidRDefault="008D128D" w:rsidP="002F23F6">
      <w:pPr>
        <w:ind w:left="142" w:firstLine="566"/>
        <w:jc w:val="both"/>
        <w:rPr>
          <w:rStyle w:val="timark"/>
          <w:b/>
          <w:bCs/>
        </w:rPr>
      </w:pPr>
      <w:r w:rsidRPr="00525F65">
        <w:rPr>
          <w:rStyle w:val="timark"/>
          <w:b/>
          <w:bCs/>
        </w:rPr>
        <w:t xml:space="preserve">За ОП 3 – прогнозна стойност за всички дейности включени в предмета за целия срок на договора </w:t>
      </w:r>
      <w:r w:rsidR="00D170D2">
        <w:rPr>
          <w:rStyle w:val="timark"/>
          <w:b/>
          <w:bCs/>
        </w:rPr>
        <w:t>780</w:t>
      </w:r>
      <w:r w:rsidR="002F23F6" w:rsidRPr="00525F65">
        <w:rPr>
          <w:rStyle w:val="timark"/>
          <w:b/>
          <w:bCs/>
        </w:rPr>
        <w:t xml:space="preserve"> 000  лв. (</w:t>
      </w:r>
      <w:r w:rsidR="00D170D2">
        <w:rPr>
          <w:rStyle w:val="timark"/>
          <w:b/>
          <w:bCs/>
        </w:rPr>
        <w:t>седем</w:t>
      </w:r>
      <w:r w:rsidR="002F23F6">
        <w:rPr>
          <w:rStyle w:val="timark"/>
          <w:b/>
          <w:bCs/>
        </w:rPr>
        <w:t xml:space="preserve">стотин и </w:t>
      </w:r>
      <w:r w:rsidR="00D170D2">
        <w:rPr>
          <w:rStyle w:val="timark"/>
          <w:b/>
          <w:bCs/>
        </w:rPr>
        <w:t>осем</w:t>
      </w:r>
      <w:r w:rsidR="002F23F6">
        <w:rPr>
          <w:rStyle w:val="timark"/>
          <w:b/>
          <w:bCs/>
        </w:rPr>
        <w:t>десет хиляди</w:t>
      </w:r>
      <w:r w:rsidR="00D170D2">
        <w:rPr>
          <w:rStyle w:val="timark"/>
          <w:b/>
          <w:bCs/>
        </w:rPr>
        <w:t xml:space="preserve"> лева) без</w:t>
      </w:r>
      <w:r w:rsidR="002F23F6" w:rsidRPr="00525F65">
        <w:rPr>
          <w:rStyle w:val="timark"/>
          <w:b/>
          <w:bCs/>
        </w:rPr>
        <w:t xml:space="preserve"> ДДС.</w:t>
      </w:r>
    </w:p>
    <w:p w:rsidR="008D128D" w:rsidRPr="00525F65" w:rsidRDefault="008D128D" w:rsidP="00253818">
      <w:pPr>
        <w:tabs>
          <w:tab w:val="left" w:pos="2785"/>
        </w:tabs>
      </w:pPr>
      <w:r w:rsidRPr="00525F65">
        <w:t xml:space="preserve">Поддържане и почистване на съществуващи озеленени площи и прилежащи алеи и площадки на паркове, градини, скверове, междублокови пространства, разделителни ивици, крайпътно и крайулично озеленяване, декоративна дървесна, храстова и тревна растителност, включително паркови елементи, детски площадки, поливни системи, както и извършване на дейности по изграждане на нови зелени площи </w:t>
      </w:r>
      <w:r w:rsidR="00F155A1">
        <w:t xml:space="preserve">и поливни системи </w:t>
      </w:r>
      <w:r w:rsidRPr="00525F65">
        <w:t>на територията на ОП 3 ще става на на база конкретни възлагания, като общия обем възлагания не може да надхвъля финансовата рамка определена от Общинския съвет за съответната календарна година.</w:t>
      </w:r>
    </w:p>
    <w:p w:rsidR="002F23F6" w:rsidRDefault="002F23F6" w:rsidP="002F23F6">
      <w:pPr>
        <w:ind w:left="142" w:firstLine="566"/>
        <w:jc w:val="both"/>
        <w:rPr>
          <w:rStyle w:val="timark"/>
          <w:b/>
          <w:bCs/>
        </w:rPr>
      </w:pPr>
    </w:p>
    <w:p w:rsidR="002F23F6" w:rsidRPr="00525F65" w:rsidRDefault="002F23F6" w:rsidP="002F23F6">
      <w:pPr>
        <w:ind w:left="142" w:firstLine="566"/>
        <w:jc w:val="both"/>
        <w:rPr>
          <w:rStyle w:val="timark"/>
          <w:b/>
          <w:bCs/>
        </w:rPr>
      </w:pPr>
      <w:r w:rsidRPr="00525F65">
        <w:rPr>
          <w:rStyle w:val="timark"/>
          <w:b/>
          <w:bCs/>
        </w:rPr>
        <w:t xml:space="preserve">За ОП </w:t>
      </w:r>
      <w:r>
        <w:rPr>
          <w:rStyle w:val="timark"/>
          <w:b/>
          <w:bCs/>
        </w:rPr>
        <w:t>4</w:t>
      </w:r>
      <w:r w:rsidRPr="00525F65">
        <w:rPr>
          <w:rStyle w:val="timark"/>
          <w:b/>
          <w:bCs/>
        </w:rPr>
        <w:t xml:space="preserve"> – прогнозна стойност за всички дейности включени в предмета за целия срок на договора </w:t>
      </w:r>
      <w:r w:rsidR="00D170D2">
        <w:rPr>
          <w:rStyle w:val="timark"/>
          <w:b/>
          <w:bCs/>
        </w:rPr>
        <w:t>700</w:t>
      </w:r>
      <w:r w:rsidRPr="00525F65">
        <w:rPr>
          <w:rStyle w:val="timark"/>
          <w:b/>
          <w:bCs/>
        </w:rPr>
        <w:t xml:space="preserve"> 000  лв. (</w:t>
      </w:r>
      <w:r w:rsidR="00D170D2">
        <w:rPr>
          <w:rStyle w:val="timark"/>
          <w:b/>
          <w:bCs/>
        </w:rPr>
        <w:t>седемстотин</w:t>
      </w:r>
      <w:r>
        <w:rPr>
          <w:rStyle w:val="timark"/>
          <w:b/>
          <w:bCs/>
        </w:rPr>
        <w:t xml:space="preserve"> хиляди</w:t>
      </w:r>
      <w:r w:rsidRPr="00525F65">
        <w:rPr>
          <w:rStyle w:val="timark"/>
          <w:b/>
          <w:bCs/>
        </w:rPr>
        <w:t xml:space="preserve"> лева) </w:t>
      </w:r>
      <w:r w:rsidR="00D170D2">
        <w:rPr>
          <w:rStyle w:val="timark"/>
          <w:b/>
          <w:bCs/>
        </w:rPr>
        <w:t>без</w:t>
      </w:r>
      <w:r w:rsidRPr="00525F65">
        <w:rPr>
          <w:rStyle w:val="timark"/>
          <w:b/>
          <w:bCs/>
        </w:rPr>
        <w:t xml:space="preserve"> ДДС.</w:t>
      </w:r>
    </w:p>
    <w:p w:rsidR="002F23F6" w:rsidRPr="00525F65" w:rsidRDefault="002F23F6" w:rsidP="002F23F6">
      <w:pPr>
        <w:ind w:left="142"/>
        <w:jc w:val="both"/>
      </w:pPr>
      <w:r w:rsidRPr="00525F65">
        <w:t xml:space="preserve">Поддържане </w:t>
      </w:r>
      <w:r w:rsidR="000B3F60">
        <w:t>на озеленените площи /общинска собственост/ на детски градини, училища и гробищни паркове на територията на ОП 4</w:t>
      </w:r>
      <w:r w:rsidRPr="00525F65">
        <w:t xml:space="preserve"> ще става на база конкретни възлагания, като общия обем възлагания не може да надхвъ</w:t>
      </w:r>
      <w:r w:rsidR="000B3F60">
        <w:t>р</w:t>
      </w:r>
      <w:r w:rsidRPr="00525F65">
        <w:t>ля финансовата рамка определена от Общинския съвет за съответната календарна година.</w:t>
      </w:r>
    </w:p>
    <w:p w:rsidR="008D128D" w:rsidRPr="00525F65" w:rsidRDefault="008D128D" w:rsidP="008D128D">
      <w:pPr>
        <w:ind w:left="142"/>
        <w:rPr>
          <w:rStyle w:val="timark"/>
          <w:b/>
          <w:bCs/>
        </w:rPr>
      </w:pPr>
    </w:p>
    <w:p w:rsidR="008D128D" w:rsidRPr="00525F65" w:rsidRDefault="008D128D" w:rsidP="008D128D">
      <w:pPr>
        <w:ind w:left="142"/>
        <w:jc w:val="both"/>
        <w:rPr>
          <w:b/>
        </w:rPr>
      </w:pPr>
      <w:r w:rsidRPr="00525F65">
        <w:rPr>
          <w:b/>
        </w:rPr>
        <w:t>ВАЖНО!!!: За извършването на дейностите по договорите ВЪЗЛОЖИТЕЛЯТ извършва плащания в съответствие и в рамките на разчетените в годишния бюджет на ВЪЗЛОЖИТЕЛЯ средства за съответната година и за съответната зона.</w:t>
      </w:r>
    </w:p>
    <w:p w:rsidR="008D128D" w:rsidRPr="00525F65" w:rsidRDefault="008D128D" w:rsidP="008D128D">
      <w:pPr>
        <w:shd w:val="clear" w:color="auto" w:fill="FFFFFF"/>
        <w:tabs>
          <w:tab w:val="left" w:pos="936"/>
        </w:tabs>
        <w:autoSpaceDN w:val="0"/>
        <w:spacing w:line="269" w:lineRule="exact"/>
        <w:ind w:left="142" w:right="19"/>
        <w:jc w:val="both"/>
        <w:rPr>
          <w:rFonts w:ascii="Calibri" w:eastAsia="Calibri" w:hAnsi="Calibri"/>
        </w:rPr>
      </w:pPr>
    </w:p>
    <w:p w:rsidR="008D128D" w:rsidRPr="00525F65" w:rsidRDefault="008D128D" w:rsidP="008D128D">
      <w:pPr>
        <w:pStyle w:val="3"/>
        <w:tabs>
          <w:tab w:val="left" w:pos="993"/>
        </w:tabs>
        <w:spacing w:before="60" w:after="60" w:line="264" w:lineRule="auto"/>
        <w:ind w:left="0" w:firstLine="567"/>
        <w:jc w:val="center"/>
        <w:rPr>
          <w:b/>
          <w:bCs/>
          <w:sz w:val="24"/>
          <w:szCs w:val="24"/>
        </w:rPr>
      </w:pPr>
      <w:r w:rsidRPr="00525F65">
        <w:rPr>
          <w:b/>
          <w:bCs/>
          <w:sz w:val="24"/>
          <w:szCs w:val="24"/>
        </w:rPr>
        <w:t xml:space="preserve">ГАРАНЦИИ </w:t>
      </w:r>
      <w:bookmarkEnd w:id="2"/>
      <w:r w:rsidRPr="00525F65">
        <w:rPr>
          <w:b/>
          <w:bCs/>
          <w:sz w:val="24"/>
          <w:szCs w:val="24"/>
        </w:rPr>
        <w:t>ЗА УЧАСТИЕ И ИЗПЪЛНЕНИЕ НА ДОГОВОРА</w:t>
      </w:r>
      <w:bookmarkEnd w:id="3"/>
    </w:p>
    <w:p w:rsidR="008D128D" w:rsidRPr="00525F65" w:rsidRDefault="008D128D" w:rsidP="008D128D">
      <w:pPr>
        <w:pStyle w:val="3"/>
        <w:numPr>
          <w:ilvl w:val="0"/>
          <w:numId w:val="4"/>
        </w:numPr>
        <w:tabs>
          <w:tab w:val="left" w:pos="993"/>
        </w:tabs>
        <w:spacing w:before="60" w:after="60" w:line="264" w:lineRule="auto"/>
        <w:jc w:val="both"/>
        <w:rPr>
          <w:b/>
          <w:sz w:val="24"/>
          <w:szCs w:val="24"/>
        </w:rPr>
      </w:pPr>
      <w:bookmarkStart w:id="4" w:name="_Toc351882529"/>
      <w:r w:rsidRPr="00525F65">
        <w:rPr>
          <w:b/>
          <w:sz w:val="24"/>
          <w:szCs w:val="24"/>
        </w:rPr>
        <w:t>Условия, размер и начин на плащането на гаранцията за участие</w:t>
      </w:r>
      <w:bookmarkEnd w:id="4"/>
      <w:r w:rsidRPr="00525F65">
        <w:rPr>
          <w:b/>
          <w:sz w:val="24"/>
          <w:szCs w:val="24"/>
        </w:rPr>
        <w:t>:</w:t>
      </w:r>
    </w:p>
    <w:p w:rsidR="008D128D" w:rsidRPr="00525F65" w:rsidRDefault="008D128D" w:rsidP="008D128D">
      <w:pPr>
        <w:tabs>
          <w:tab w:val="left" w:pos="993"/>
        </w:tabs>
        <w:spacing w:before="60" w:after="60"/>
        <w:ind w:firstLine="567"/>
        <w:jc w:val="both"/>
      </w:pPr>
      <w:r w:rsidRPr="00525F65">
        <w:t>Гаранциите за участие по обособените позиции са в размер, както следва:</w:t>
      </w:r>
    </w:p>
    <w:p w:rsidR="008D128D" w:rsidRPr="00525F65" w:rsidRDefault="008D128D" w:rsidP="008D128D">
      <w:pPr>
        <w:tabs>
          <w:tab w:val="left" w:pos="993"/>
        </w:tabs>
        <w:spacing w:before="60" w:after="60"/>
        <w:ind w:firstLine="567"/>
        <w:jc w:val="both"/>
        <w:rPr>
          <w:rStyle w:val="timark"/>
          <w:b/>
          <w:bCs/>
        </w:rPr>
      </w:pPr>
      <w:r w:rsidRPr="00525F65">
        <w:rPr>
          <w:rStyle w:val="timark"/>
          <w:b/>
          <w:bCs/>
        </w:rPr>
        <w:t xml:space="preserve">За ОП 1 – </w:t>
      </w:r>
      <w:r w:rsidR="00CA7FB9">
        <w:rPr>
          <w:rStyle w:val="timark"/>
          <w:b/>
          <w:bCs/>
        </w:rPr>
        <w:t>5 5</w:t>
      </w:r>
      <w:r>
        <w:rPr>
          <w:rStyle w:val="timark"/>
          <w:b/>
          <w:bCs/>
        </w:rPr>
        <w:t>00 лв. (</w:t>
      </w:r>
      <w:r w:rsidR="00CA7FB9">
        <w:rPr>
          <w:rStyle w:val="timark"/>
          <w:b/>
          <w:bCs/>
        </w:rPr>
        <w:t>пет</w:t>
      </w:r>
      <w:r w:rsidRPr="00525F65">
        <w:rPr>
          <w:rStyle w:val="timark"/>
          <w:b/>
          <w:bCs/>
        </w:rPr>
        <w:t xml:space="preserve"> хиляди </w:t>
      </w:r>
      <w:r w:rsidR="003102DC">
        <w:rPr>
          <w:rStyle w:val="timark"/>
          <w:b/>
          <w:bCs/>
        </w:rPr>
        <w:t xml:space="preserve">и </w:t>
      </w:r>
      <w:r w:rsidR="00CA7FB9">
        <w:rPr>
          <w:rStyle w:val="timark"/>
          <w:b/>
          <w:bCs/>
        </w:rPr>
        <w:t>пет</w:t>
      </w:r>
      <w:r w:rsidR="003102DC">
        <w:rPr>
          <w:rStyle w:val="timark"/>
          <w:b/>
          <w:bCs/>
        </w:rPr>
        <w:t>сто</w:t>
      </w:r>
      <w:r w:rsidR="00CA7FB9">
        <w:rPr>
          <w:rStyle w:val="timark"/>
          <w:b/>
          <w:bCs/>
        </w:rPr>
        <w:t>тин</w:t>
      </w:r>
      <w:r w:rsidR="003102DC">
        <w:rPr>
          <w:rStyle w:val="timark"/>
          <w:b/>
          <w:bCs/>
        </w:rPr>
        <w:t xml:space="preserve"> </w:t>
      </w:r>
      <w:r w:rsidRPr="00525F65">
        <w:rPr>
          <w:rStyle w:val="timark"/>
          <w:b/>
          <w:bCs/>
        </w:rPr>
        <w:t>лева).</w:t>
      </w:r>
    </w:p>
    <w:p w:rsidR="003102DC" w:rsidRPr="00525F65" w:rsidRDefault="008D128D" w:rsidP="003102DC">
      <w:pPr>
        <w:tabs>
          <w:tab w:val="left" w:pos="993"/>
        </w:tabs>
        <w:spacing w:before="60" w:after="60"/>
        <w:ind w:firstLine="567"/>
        <w:jc w:val="both"/>
        <w:rPr>
          <w:rStyle w:val="timark"/>
          <w:b/>
          <w:bCs/>
        </w:rPr>
      </w:pPr>
      <w:r w:rsidRPr="00525F65">
        <w:rPr>
          <w:rStyle w:val="timark"/>
          <w:b/>
          <w:bCs/>
        </w:rPr>
        <w:t xml:space="preserve">За ОП 2 – </w:t>
      </w:r>
      <w:r w:rsidR="004C3CD6">
        <w:rPr>
          <w:rStyle w:val="timark"/>
          <w:b/>
          <w:bCs/>
        </w:rPr>
        <w:t>5</w:t>
      </w:r>
      <w:r w:rsidR="003102DC">
        <w:rPr>
          <w:rStyle w:val="timark"/>
          <w:b/>
          <w:bCs/>
        </w:rPr>
        <w:t> </w:t>
      </w:r>
      <w:r w:rsidR="004C3CD6">
        <w:rPr>
          <w:rStyle w:val="timark"/>
          <w:b/>
          <w:bCs/>
        </w:rPr>
        <w:t>8</w:t>
      </w:r>
      <w:r w:rsidR="003102DC">
        <w:rPr>
          <w:rStyle w:val="timark"/>
          <w:b/>
          <w:bCs/>
        </w:rPr>
        <w:t>00 лв. (</w:t>
      </w:r>
      <w:r w:rsidR="004C3CD6">
        <w:rPr>
          <w:rStyle w:val="timark"/>
          <w:b/>
          <w:bCs/>
        </w:rPr>
        <w:t>пет</w:t>
      </w:r>
      <w:r w:rsidR="003102DC" w:rsidRPr="00525F65">
        <w:rPr>
          <w:rStyle w:val="timark"/>
          <w:b/>
          <w:bCs/>
        </w:rPr>
        <w:t xml:space="preserve"> хиляди </w:t>
      </w:r>
      <w:r w:rsidR="003102DC">
        <w:rPr>
          <w:rStyle w:val="timark"/>
          <w:b/>
          <w:bCs/>
        </w:rPr>
        <w:t xml:space="preserve">и </w:t>
      </w:r>
      <w:r w:rsidR="004C3CD6">
        <w:rPr>
          <w:rStyle w:val="timark"/>
          <w:b/>
          <w:bCs/>
        </w:rPr>
        <w:t>осем</w:t>
      </w:r>
      <w:r w:rsidR="003102DC">
        <w:rPr>
          <w:rStyle w:val="timark"/>
          <w:b/>
          <w:bCs/>
        </w:rPr>
        <w:t>сто</w:t>
      </w:r>
      <w:r w:rsidR="004C3CD6">
        <w:rPr>
          <w:rStyle w:val="timark"/>
          <w:b/>
          <w:bCs/>
        </w:rPr>
        <w:t>тин</w:t>
      </w:r>
      <w:r w:rsidR="003102DC">
        <w:rPr>
          <w:rStyle w:val="timark"/>
          <w:b/>
          <w:bCs/>
        </w:rPr>
        <w:t xml:space="preserve"> </w:t>
      </w:r>
      <w:r w:rsidR="003102DC" w:rsidRPr="00525F65">
        <w:rPr>
          <w:rStyle w:val="timark"/>
          <w:b/>
          <w:bCs/>
        </w:rPr>
        <w:t>лева).</w:t>
      </w:r>
    </w:p>
    <w:p w:rsidR="003102DC" w:rsidRDefault="008D128D" w:rsidP="003102DC">
      <w:pPr>
        <w:tabs>
          <w:tab w:val="left" w:pos="993"/>
        </w:tabs>
        <w:spacing w:before="60" w:after="60"/>
        <w:ind w:firstLine="567"/>
        <w:jc w:val="both"/>
        <w:rPr>
          <w:rStyle w:val="timark"/>
          <w:b/>
          <w:bCs/>
        </w:rPr>
      </w:pPr>
      <w:r w:rsidRPr="00525F65">
        <w:rPr>
          <w:rStyle w:val="timark"/>
          <w:b/>
          <w:bCs/>
        </w:rPr>
        <w:t xml:space="preserve">За ОП 3 – </w:t>
      </w:r>
      <w:r w:rsidR="004C3CD6">
        <w:rPr>
          <w:rStyle w:val="timark"/>
          <w:b/>
          <w:bCs/>
        </w:rPr>
        <w:t>7</w:t>
      </w:r>
      <w:r w:rsidR="003102DC">
        <w:rPr>
          <w:rStyle w:val="timark"/>
          <w:b/>
          <w:bCs/>
        </w:rPr>
        <w:t> </w:t>
      </w:r>
      <w:r w:rsidR="004C3CD6">
        <w:rPr>
          <w:rStyle w:val="timark"/>
          <w:b/>
          <w:bCs/>
        </w:rPr>
        <w:t>8</w:t>
      </w:r>
      <w:r w:rsidR="003102DC">
        <w:rPr>
          <w:rStyle w:val="timark"/>
          <w:b/>
          <w:bCs/>
        </w:rPr>
        <w:t>00 лв. (</w:t>
      </w:r>
      <w:r w:rsidR="004C3CD6">
        <w:rPr>
          <w:rStyle w:val="timark"/>
          <w:b/>
          <w:bCs/>
        </w:rPr>
        <w:t>седем</w:t>
      </w:r>
      <w:r w:rsidR="003102DC" w:rsidRPr="00525F65">
        <w:rPr>
          <w:rStyle w:val="timark"/>
          <w:b/>
          <w:bCs/>
        </w:rPr>
        <w:t xml:space="preserve"> хиляди </w:t>
      </w:r>
      <w:r w:rsidR="003102DC">
        <w:rPr>
          <w:rStyle w:val="timark"/>
          <w:b/>
          <w:bCs/>
        </w:rPr>
        <w:t xml:space="preserve">и </w:t>
      </w:r>
      <w:r w:rsidR="004C3CD6">
        <w:rPr>
          <w:rStyle w:val="timark"/>
          <w:b/>
          <w:bCs/>
        </w:rPr>
        <w:t>осем</w:t>
      </w:r>
      <w:r w:rsidR="003102DC">
        <w:rPr>
          <w:rStyle w:val="timark"/>
          <w:b/>
          <w:bCs/>
        </w:rPr>
        <w:t xml:space="preserve">стотин </w:t>
      </w:r>
      <w:r w:rsidR="003102DC" w:rsidRPr="00525F65">
        <w:rPr>
          <w:rStyle w:val="timark"/>
          <w:b/>
          <w:bCs/>
        </w:rPr>
        <w:t>лева).</w:t>
      </w:r>
    </w:p>
    <w:p w:rsidR="003102DC" w:rsidRDefault="003102DC" w:rsidP="003102DC">
      <w:pPr>
        <w:tabs>
          <w:tab w:val="left" w:pos="993"/>
        </w:tabs>
        <w:spacing w:before="60" w:after="60"/>
        <w:ind w:firstLine="567"/>
        <w:jc w:val="both"/>
        <w:rPr>
          <w:rStyle w:val="timark"/>
          <w:b/>
          <w:bCs/>
        </w:rPr>
      </w:pPr>
      <w:r w:rsidRPr="00525F65">
        <w:rPr>
          <w:rStyle w:val="timark"/>
          <w:b/>
          <w:bCs/>
        </w:rPr>
        <w:t xml:space="preserve">За ОП </w:t>
      </w:r>
      <w:r>
        <w:rPr>
          <w:rStyle w:val="timark"/>
          <w:b/>
          <w:bCs/>
        </w:rPr>
        <w:t>4</w:t>
      </w:r>
      <w:r w:rsidRPr="00525F65">
        <w:rPr>
          <w:rStyle w:val="timark"/>
          <w:b/>
          <w:bCs/>
        </w:rPr>
        <w:t xml:space="preserve"> – </w:t>
      </w:r>
      <w:r w:rsidR="004C3CD6">
        <w:rPr>
          <w:rStyle w:val="timark"/>
          <w:b/>
          <w:bCs/>
        </w:rPr>
        <w:t>7</w:t>
      </w:r>
      <w:r>
        <w:rPr>
          <w:rStyle w:val="timark"/>
          <w:b/>
          <w:bCs/>
        </w:rPr>
        <w:t xml:space="preserve"> </w:t>
      </w:r>
      <w:r w:rsidR="004C3CD6">
        <w:rPr>
          <w:rStyle w:val="timark"/>
          <w:b/>
          <w:bCs/>
        </w:rPr>
        <w:t>000</w:t>
      </w:r>
      <w:r>
        <w:rPr>
          <w:rStyle w:val="timark"/>
          <w:b/>
          <w:bCs/>
        </w:rPr>
        <w:t xml:space="preserve"> лв. (</w:t>
      </w:r>
      <w:r w:rsidR="004C3CD6">
        <w:rPr>
          <w:rStyle w:val="timark"/>
          <w:b/>
          <w:bCs/>
        </w:rPr>
        <w:t xml:space="preserve">седем </w:t>
      </w:r>
      <w:r w:rsidRPr="00525F65">
        <w:rPr>
          <w:rStyle w:val="timark"/>
          <w:b/>
          <w:bCs/>
        </w:rPr>
        <w:t>хиляди лева).</w:t>
      </w:r>
    </w:p>
    <w:p w:rsidR="008D128D" w:rsidRPr="00525F65" w:rsidRDefault="008D128D" w:rsidP="003102DC">
      <w:pPr>
        <w:tabs>
          <w:tab w:val="left" w:pos="993"/>
        </w:tabs>
        <w:spacing w:before="60" w:after="60"/>
        <w:ind w:firstLine="567"/>
        <w:jc w:val="both"/>
      </w:pPr>
      <w:r w:rsidRPr="00525F65">
        <w:t>Гаранцията за участие може да се внесе по банков път или да се представи под формата на банкова гаранция.</w:t>
      </w:r>
    </w:p>
    <w:p w:rsidR="008D128D" w:rsidRPr="00525F65" w:rsidRDefault="008D128D" w:rsidP="00AD4824">
      <w:pPr>
        <w:tabs>
          <w:tab w:val="left" w:pos="993"/>
        </w:tabs>
        <w:spacing w:beforeLines="60" w:before="144" w:afterLines="60" w:after="144"/>
        <w:ind w:firstLine="567"/>
        <w:jc w:val="both"/>
      </w:pPr>
      <w:r w:rsidRPr="00525F65">
        <w:t>Участникът избира сам формата на гаранцията за участие.</w:t>
      </w:r>
    </w:p>
    <w:p w:rsidR="008D128D" w:rsidRPr="00525F65" w:rsidRDefault="008D128D" w:rsidP="008D128D">
      <w:pPr>
        <w:tabs>
          <w:tab w:val="left" w:pos="993"/>
        </w:tabs>
        <w:spacing w:before="60" w:after="60"/>
        <w:ind w:firstLine="567"/>
        <w:jc w:val="both"/>
      </w:pPr>
      <w:r w:rsidRPr="00525F65">
        <w:t xml:space="preserve">Когато участникът избере гаранцията за участие да бъде банкова гаранция, тогава това трябва да бъде безусловна и неотменима банкова гаранция в полза на Възложителя, със срок на валидност </w:t>
      </w:r>
      <w:r w:rsidRPr="00525F65">
        <w:rPr>
          <w:b/>
        </w:rPr>
        <w:t>180 дни, считано от крайния срок за подаване на офертата</w:t>
      </w:r>
      <w:r w:rsidRPr="00525F65">
        <w:t xml:space="preserve"> и да е изрично посочено, че е за настоящата обществена поръчка.</w:t>
      </w:r>
    </w:p>
    <w:p w:rsidR="008D128D" w:rsidRPr="00525F65" w:rsidRDefault="008D128D" w:rsidP="008D128D">
      <w:pPr>
        <w:tabs>
          <w:tab w:val="left" w:pos="993"/>
        </w:tabs>
        <w:ind w:firstLine="567"/>
        <w:jc w:val="both"/>
      </w:pPr>
      <w:r w:rsidRPr="00525F65">
        <w:t xml:space="preserve">Когато участникът избере да внесе гаранцията за участие по банков път, това следва да стане с платежно нареждане с изрично посочена настоящата процедура, за която се представя гаранцията, по следната сметка на Възложителя: </w:t>
      </w:r>
    </w:p>
    <w:p w:rsidR="008D128D" w:rsidRPr="00525F65" w:rsidRDefault="008D128D" w:rsidP="008D128D">
      <w:pPr>
        <w:tabs>
          <w:tab w:val="left" w:pos="993"/>
        </w:tabs>
        <w:autoSpaceDE w:val="0"/>
        <w:autoSpaceDN w:val="0"/>
        <w:adjustRightInd w:val="0"/>
        <w:ind w:firstLine="567"/>
        <w:jc w:val="both"/>
        <w:rPr>
          <w:rStyle w:val="FontStyle29"/>
          <w:b/>
        </w:rPr>
      </w:pPr>
    </w:p>
    <w:p w:rsidR="008D128D" w:rsidRPr="00525F65" w:rsidRDefault="008D128D" w:rsidP="008D128D">
      <w:pPr>
        <w:tabs>
          <w:tab w:val="left" w:pos="993"/>
        </w:tabs>
        <w:autoSpaceDE w:val="0"/>
        <w:autoSpaceDN w:val="0"/>
        <w:adjustRightInd w:val="0"/>
        <w:ind w:firstLine="567"/>
        <w:jc w:val="both"/>
        <w:rPr>
          <w:rStyle w:val="FontStyle29"/>
          <w:b/>
        </w:rPr>
      </w:pPr>
      <w:r w:rsidRPr="00525F65">
        <w:rPr>
          <w:rStyle w:val="FontStyle29"/>
          <w:b/>
        </w:rPr>
        <w:t xml:space="preserve">ОБЩИНА </w:t>
      </w:r>
      <w:r>
        <w:rPr>
          <w:rStyle w:val="FontStyle29"/>
          <w:b/>
        </w:rPr>
        <w:t>ПЕРНИК</w:t>
      </w:r>
    </w:p>
    <w:p w:rsidR="008D128D" w:rsidRPr="00525F65" w:rsidRDefault="00430D94" w:rsidP="008D128D">
      <w:pPr>
        <w:tabs>
          <w:tab w:val="left" w:pos="993"/>
        </w:tabs>
        <w:ind w:firstLine="567"/>
        <w:rPr>
          <w:b/>
        </w:rPr>
      </w:pPr>
      <w:r w:rsidRPr="009453DD">
        <w:rPr>
          <w:b/>
          <w:color w:val="000000"/>
          <w:spacing w:val="-10"/>
          <w:shd w:val="clear" w:color="auto" w:fill="FFFFFF"/>
        </w:rPr>
        <w:t>IBAN</w:t>
      </w:r>
      <w:r w:rsidRPr="0035197B">
        <w:rPr>
          <w:b/>
          <w:color w:val="000000"/>
          <w:spacing w:val="-10"/>
          <w:shd w:val="clear" w:color="auto" w:fill="FFFFFF"/>
        </w:rPr>
        <w:t>:</w:t>
      </w:r>
      <w:r w:rsidRPr="009453DD">
        <w:rPr>
          <w:b/>
          <w:color w:val="000000"/>
          <w:spacing w:val="-10"/>
          <w:shd w:val="clear" w:color="auto" w:fill="FFFFFF"/>
        </w:rPr>
        <w:t>BG</w:t>
      </w:r>
      <w:r w:rsidRPr="0035197B">
        <w:rPr>
          <w:b/>
          <w:color w:val="000000"/>
          <w:spacing w:val="-10"/>
          <w:shd w:val="clear" w:color="auto" w:fill="FFFFFF"/>
        </w:rPr>
        <w:t>36</w:t>
      </w:r>
      <w:r w:rsidRPr="009453DD">
        <w:rPr>
          <w:b/>
          <w:color w:val="000000"/>
          <w:spacing w:val="-10"/>
          <w:shd w:val="clear" w:color="auto" w:fill="FFFFFF"/>
        </w:rPr>
        <w:t>CECB</w:t>
      </w:r>
      <w:r w:rsidRPr="0035197B">
        <w:rPr>
          <w:b/>
          <w:color w:val="000000"/>
          <w:spacing w:val="-10"/>
          <w:shd w:val="clear" w:color="auto" w:fill="FFFFFF"/>
        </w:rPr>
        <w:t xml:space="preserve">97903360879300, </w:t>
      </w:r>
      <w:r w:rsidRPr="009453DD">
        <w:rPr>
          <w:b/>
          <w:color w:val="000000"/>
          <w:spacing w:val="-10"/>
          <w:shd w:val="clear" w:color="auto" w:fill="FFFFFF"/>
        </w:rPr>
        <w:t>BIC</w:t>
      </w:r>
      <w:r w:rsidRPr="0035197B">
        <w:rPr>
          <w:b/>
          <w:color w:val="000000"/>
          <w:spacing w:val="-10"/>
          <w:shd w:val="clear" w:color="auto" w:fill="FFFFFF"/>
        </w:rPr>
        <w:t xml:space="preserve">: </w:t>
      </w:r>
      <w:r w:rsidRPr="009453DD">
        <w:rPr>
          <w:b/>
          <w:color w:val="000000"/>
          <w:spacing w:val="-10"/>
          <w:shd w:val="clear" w:color="auto" w:fill="FFFFFF"/>
        </w:rPr>
        <w:t>CECBBGSF</w:t>
      </w:r>
      <w:r w:rsidRPr="0035197B">
        <w:rPr>
          <w:b/>
          <w:color w:val="000000"/>
          <w:spacing w:val="-10"/>
          <w:shd w:val="clear" w:color="auto" w:fill="FFFFFF"/>
        </w:rPr>
        <w:t xml:space="preserve"> </w:t>
      </w:r>
      <w:r w:rsidR="00AD4824">
        <w:rPr>
          <w:b/>
          <w:color w:val="000000"/>
          <w:spacing w:val="-10"/>
          <w:shd w:val="clear" w:color="auto" w:fill="FFFFFF"/>
        </w:rPr>
        <w:t xml:space="preserve"> </w:t>
      </w:r>
      <w:r w:rsidRPr="0035197B">
        <w:rPr>
          <w:b/>
          <w:color w:val="000000"/>
          <w:spacing w:val="-10"/>
          <w:shd w:val="clear" w:color="auto" w:fill="FFFFFF"/>
        </w:rPr>
        <w:t>при Банка ЦКБ АД</w:t>
      </w:r>
      <w:r w:rsidR="00AD4824">
        <w:rPr>
          <w:b/>
          <w:color w:val="000000"/>
          <w:spacing w:val="-10"/>
          <w:shd w:val="clear" w:color="auto" w:fill="FFFFFF"/>
        </w:rPr>
        <w:t xml:space="preserve"> </w:t>
      </w:r>
      <w:r>
        <w:t xml:space="preserve">- </w:t>
      </w:r>
      <w:r w:rsidRPr="0035197B">
        <w:rPr>
          <w:b/>
          <w:color w:val="000000"/>
          <w:spacing w:val="-10"/>
          <w:shd w:val="clear" w:color="auto" w:fill="FFFFFF"/>
        </w:rPr>
        <w:t>Перник</w:t>
      </w:r>
    </w:p>
    <w:p w:rsidR="008D128D" w:rsidRPr="00525F65" w:rsidRDefault="008D128D" w:rsidP="008D128D">
      <w:pPr>
        <w:tabs>
          <w:tab w:val="left" w:pos="993"/>
        </w:tabs>
        <w:ind w:firstLine="567"/>
        <w:jc w:val="both"/>
      </w:pPr>
    </w:p>
    <w:p w:rsidR="008D128D" w:rsidRPr="00525F65" w:rsidRDefault="008D128D" w:rsidP="008D128D">
      <w:pPr>
        <w:tabs>
          <w:tab w:val="left" w:pos="993"/>
        </w:tabs>
        <w:ind w:firstLine="567"/>
        <w:jc w:val="both"/>
      </w:pPr>
      <w:r w:rsidRPr="00525F65">
        <w:t>Участникът ще бъде отстранен от участие в откритата процедура за възлагане на настоящата обществена поръчка, ако не представи платежно нареждане за гаранция за участие или банкова гаранция, отговарящи на посочените условия след като такъв документ е бил изискан от него от Оценителната комисия.</w:t>
      </w:r>
    </w:p>
    <w:p w:rsidR="008D128D" w:rsidRPr="00525F65" w:rsidRDefault="008D128D" w:rsidP="008D128D">
      <w:pPr>
        <w:pStyle w:val="3"/>
        <w:numPr>
          <w:ilvl w:val="0"/>
          <w:numId w:val="3"/>
        </w:numPr>
        <w:tabs>
          <w:tab w:val="left" w:pos="540"/>
          <w:tab w:val="left" w:pos="993"/>
        </w:tabs>
        <w:spacing w:before="60" w:after="60" w:line="264" w:lineRule="auto"/>
        <w:ind w:left="0" w:firstLine="567"/>
        <w:jc w:val="both"/>
        <w:rPr>
          <w:b/>
          <w:sz w:val="24"/>
          <w:szCs w:val="24"/>
        </w:rPr>
      </w:pPr>
      <w:bookmarkStart w:id="5" w:name="_Toc351882530"/>
      <w:r w:rsidRPr="00525F65">
        <w:rPr>
          <w:b/>
          <w:sz w:val="24"/>
          <w:szCs w:val="24"/>
        </w:rPr>
        <w:t>Задържане, усвояване и освобождаване на гаранцията за участие</w:t>
      </w:r>
      <w:bookmarkEnd w:id="5"/>
      <w:r w:rsidRPr="00525F65">
        <w:rPr>
          <w:b/>
          <w:sz w:val="24"/>
          <w:szCs w:val="24"/>
        </w:rPr>
        <w:t>:</w:t>
      </w:r>
    </w:p>
    <w:p w:rsidR="008D128D" w:rsidRPr="00525F65" w:rsidRDefault="008D128D" w:rsidP="008D128D">
      <w:pPr>
        <w:tabs>
          <w:tab w:val="left" w:pos="993"/>
        </w:tabs>
        <w:spacing w:before="60" w:after="60"/>
        <w:ind w:firstLine="567"/>
        <w:jc w:val="both"/>
      </w:pPr>
      <w:r w:rsidRPr="00525F65">
        <w:t>Задържането, усвояването и освобождаването на гаранцията за участие става по условията и реда на чл. 61 и чл. 62 от ЗОП.</w:t>
      </w:r>
    </w:p>
    <w:p w:rsidR="008D128D" w:rsidRPr="00525F65" w:rsidRDefault="008D128D" w:rsidP="008D128D">
      <w:pPr>
        <w:pStyle w:val="3"/>
        <w:numPr>
          <w:ilvl w:val="0"/>
          <w:numId w:val="3"/>
        </w:numPr>
        <w:tabs>
          <w:tab w:val="left" w:pos="540"/>
          <w:tab w:val="left" w:pos="993"/>
        </w:tabs>
        <w:spacing w:before="60" w:after="60" w:line="264" w:lineRule="auto"/>
        <w:ind w:left="0" w:firstLine="567"/>
        <w:jc w:val="both"/>
        <w:rPr>
          <w:b/>
          <w:sz w:val="24"/>
          <w:szCs w:val="24"/>
        </w:rPr>
      </w:pPr>
      <w:bookmarkStart w:id="6" w:name="_Toc351882531"/>
      <w:r w:rsidRPr="00525F65">
        <w:rPr>
          <w:b/>
          <w:sz w:val="24"/>
          <w:szCs w:val="24"/>
        </w:rPr>
        <w:t>Условия, размер и начин на плащане на гаранцията за изпълнение</w:t>
      </w:r>
      <w:bookmarkEnd w:id="6"/>
      <w:r w:rsidRPr="00525F65">
        <w:rPr>
          <w:b/>
          <w:sz w:val="24"/>
          <w:szCs w:val="24"/>
        </w:rPr>
        <w:t>:</w:t>
      </w:r>
    </w:p>
    <w:p w:rsidR="008D128D" w:rsidRPr="000B6681" w:rsidRDefault="008D128D" w:rsidP="008D128D">
      <w:pPr>
        <w:tabs>
          <w:tab w:val="left" w:pos="993"/>
        </w:tabs>
        <w:spacing w:before="60" w:after="60"/>
        <w:ind w:firstLine="567"/>
        <w:jc w:val="both"/>
      </w:pPr>
      <w:r w:rsidRPr="000B6681">
        <w:t xml:space="preserve">Гаранцията за изпълнение на обществената поръчка – </w:t>
      </w:r>
      <w:r w:rsidRPr="000B6681">
        <w:rPr>
          <w:b/>
        </w:rPr>
        <w:t>4 %</w:t>
      </w:r>
      <w:r w:rsidRPr="000B6681">
        <w:t xml:space="preserve"> от стойността на договора за съответната обособена позиция, без включен ДДС, със срок на валидност най–малко </w:t>
      </w:r>
      <w:r w:rsidRPr="000B6681">
        <w:rPr>
          <w:b/>
        </w:rPr>
        <w:t>60 (шестдесет) дни</w:t>
      </w:r>
      <w:r w:rsidRPr="000B6681">
        <w:t xml:space="preserve"> след срока за изпълнение на договора.</w:t>
      </w:r>
    </w:p>
    <w:p w:rsidR="008D128D" w:rsidRPr="00525F65" w:rsidRDefault="008D128D" w:rsidP="008D128D">
      <w:pPr>
        <w:tabs>
          <w:tab w:val="left" w:pos="993"/>
        </w:tabs>
        <w:spacing w:before="60" w:after="60"/>
        <w:ind w:firstLine="567"/>
        <w:jc w:val="both"/>
      </w:pPr>
      <w:r w:rsidRPr="00525F65">
        <w:t>Гаранцията за изпълнение може да се внесе по банков път или да се представи под формата на банкова гаранция.</w:t>
      </w:r>
    </w:p>
    <w:p w:rsidR="008D128D" w:rsidRPr="00525F65" w:rsidRDefault="008D128D" w:rsidP="008D128D">
      <w:pPr>
        <w:tabs>
          <w:tab w:val="left" w:pos="993"/>
        </w:tabs>
        <w:spacing w:before="60" w:after="60"/>
        <w:ind w:firstLine="567"/>
        <w:jc w:val="both"/>
      </w:pPr>
      <w:r w:rsidRPr="00525F65">
        <w:t>Участникът избира сам формата на гаранцията за изпълнение.</w:t>
      </w:r>
    </w:p>
    <w:p w:rsidR="008D128D" w:rsidRPr="00525F65" w:rsidRDefault="008D128D" w:rsidP="008D128D">
      <w:pPr>
        <w:tabs>
          <w:tab w:val="left" w:pos="993"/>
        </w:tabs>
        <w:spacing w:before="60" w:after="60"/>
        <w:ind w:firstLine="567"/>
        <w:jc w:val="both"/>
      </w:pPr>
      <w:r w:rsidRPr="00525F65">
        <w:t>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преди неговото сключване.</w:t>
      </w:r>
    </w:p>
    <w:p w:rsidR="008D128D" w:rsidRPr="00525F65" w:rsidRDefault="008D128D" w:rsidP="008D128D">
      <w:pPr>
        <w:tabs>
          <w:tab w:val="left" w:pos="993"/>
        </w:tabs>
        <w:spacing w:before="60" w:after="60"/>
        <w:ind w:firstLine="567"/>
        <w:jc w:val="both"/>
      </w:pPr>
      <w:r w:rsidRPr="00525F65">
        <w:t>При представяне на гаранцията в платежното нареждане или в банковата гаранция изрично се посочва договорът, за който се представя гаранцията.</w:t>
      </w:r>
    </w:p>
    <w:p w:rsidR="008D128D" w:rsidRPr="00525F65" w:rsidRDefault="008D128D" w:rsidP="008D128D">
      <w:pPr>
        <w:pStyle w:val="3"/>
        <w:numPr>
          <w:ilvl w:val="0"/>
          <w:numId w:val="3"/>
        </w:numPr>
        <w:tabs>
          <w:tab w:val="left" w:pos="993"/>
        </w:tabs>
        <w:spacing w:before="60" w:after="60" w:line="264" w:lineRule="auto"/>
        <w:ind w:left="0" w:firstLine="567"/>
        <w:jc w:val="both"/>
        <w:rPr>
          <w:b/>
          <w:sz w:val="24"/>
          <w:szCs w:val="24"/>
        </w:rPr>
      </w:pPr>
      <w:bookmarkStart w:id="7" w:name="_Toc351882532"/>
      <w:r w:rsidRPr="00525F65">
        <w:rPr>
          <w:b/>
          <w:sz w:val="24"/>
          <w:szCs w:val="24"/>
        </w:rPr>
        <w:t>Задържане и освобождаване на гаранцията за изпълнение</w:t>
      </w:r>
      <w:bookmarkEnd w:id="7"/>
      <w:r w:rsidRPr="00525F65">
        <w:rPr>
          <w:b/>
          <w:sz w:val="24"/>
          <w:szCs w:val="24"/>
        </w:rPr>
        <w:t>:</w:t>
      </w:r>
    </w:p>
    <w:p w:rsidR="008D128D" w:rsidRPr="00525F65" w:rsidRDefault="008D128D" w:rsidP="008D128D">
      <w:pPr>
        <w:tabs>
          <w:tab w:val="left" w:pos="993"/>
        </w:tabs>
        <w:spacing w:before="60" w:after="60"/>
        <w:ind w:firstLine="567"/>
        <w:jc w:val="both"/>
      </w:pPr>
      <w:r w:rsidRPr="00525F65">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8D128D" w:rsidRPr="00525F65" w:rsidRDefault="008D128D" w:rsidP="008D128D">
      <w:pPr>
        <w:tabs>
          <w:tab w:val="left" w:pos="993"/>
        </w:tabs>
        <w:spacing w:before="60" w:after="60"/>
        <w:ind w:firstLine="567"/>
        <w:jc w:val="both"/>
      </w:pPr>
      <w:r w:rsidRPr="00525F65">
        <w:t>Договорът за изпълнение на обществената поръчка не се сключва преди избраният участник да представи гаранция за изпълнение.</w:t>
      </w:r>
    </w:p>
    <w:p w:rsidR="008D128D" w:rsidRPr="00525F65" w:rsidRDefault="008D128D" w:rsidP="008D128D">
      <w:pPr>
        <w:tabs>
          <w:tab w:val="left" w:pos="993"/>
        </w:tabs>
        <w:spacing w:before="60" w:after="60"/>
        <w:ind w:firstLine="567"/>
        <w:jc w:val="both"/>
      </w:pPr>
      <w:r w:rsidRPr="00525F65">
        <w:t xml:space="preserve">Възложителят освобождава гаранцията за изпълнение, без да дължи лихви за периода, през който средствата законно са престояли при него. </w:t>
      </w:r>
    </w:p>
    <w:p w:rsidR="008D128D" w:rsidRPr="00525F65" w:rsidRDefault="008D128D" w:rsidP="008D128D">
      <w:pPr>
        <w:numPr>
          <w:ilvl w:val="0"/>
          <w:numId w:val="3"/>
        </w:numPr>
        <w:tabs>
          <w:tab w:val="left" w:pos="993"/>
        </w:tabs>
        <w:spacing w:before="60" w:after="60"/>
        <w:ind w:left="0" w:firstLine="567"/>
        <w:jc w:val="both"/>
      </w:pPr>
      <w:r w:rsidRPr="00525F65">
        <w:t>Когато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8D128D" w:rsidRPr="00525F65" w:rsidRDefault="008D128D" w:rsidP="008D128D">
      <w:pPr>
        <w:tabs>
          <w:tab w:val="left" w:pos="993"/>
        </w:tabs>
        <w:spacing w:before="60" w:after="60"/>
        <w:ind w:firstLine="567"/>
        <w:jc w:val="both"/>
      </w:pPr>
    </w:p>
    <w:p w:rsidR="008D128D" w:rsidRPr="00525F65" w:rsidRDefault="008D128D" w:rsidP="008D128D">
      <w:pPr>
        <w:pStyle w:val="3"/>
        <w:tabs>
          <w:tab w:val="left" w:pos="993"/>
        </w:tabs>
        <w:spacing w:before="60" w:after="60" w:line="264" w:lineRule="auto"/>
        <w:ind w:left="0"/>
        <w:jc w:val="center"/>
        <w:rPr>
          <w:b/>
          <w:sz w:val="24"/>
          <w:szCs w:val="24"/>
        </w:rPr>
      </w:pPr>
      <w:r w:rsidRPr="00525F65">
        <w:rPr>
          <w:b/>
          <w:sz w:val="24"/>
          <w:szCs w:val="24"/>
        </w:rPr>
        <w:t>ПОЛУЧАВАНЕ НА ДОКУМЕНТАЦИЯ</w:t>
      </w:r>
    </w:p>
    <w:p w:rsidR="008D128D" w:rsidRPr="00525F65" w:rsidRDefault="008D128D" w:rsidP="008D128D">
      <w:pPr>
        <w:pStyle w:val="3"/>
        <w:numPr>
          <w:ilvl w:val="0"/>
          <w:numId w:val="3"/>
        </w:numPr>
        <w:tabs>
          <w:tab w:val="left" w:pos="993"/>
        </w:tabs>
        <w:spacing w:before="60" w:after="60" w:line="264" w:lineRule="auto"/>
        <w:ind w:left="0" w:firstLine="567"/>
        <w:jc w:val="both"/>
        <w:rPr>
          <w:b/>
          <w:sz w:val="24"/>
          <w:szCs w:val="24"/>
        </w:rPr>
      </w:pPr>
      <w:bookmarkStart w:id="8" w:name="_Toc351882534"/>
      <w:r w:rsidRPr="00525F65">
        <w:rPr>
          <w:b/>
          <w:sz w:val="24"/>
          <w:szCs w:val="24"/>
        </w:rPr>
        <w:t>Достъп до документацията за участие</w:t>
      </w:r>
      <w:bookmarkEnd w:id="8"/>
      <w:r w:rsidRPr="00525F65">
        <w:rPr>
          <w:b/>
          <w:sz w:val="24"/>
          <w:szCs w:val="24"/>
        </w:rPr>
        <w:t>:</w:t>
      </w:r>
    </w:p>
    <w:p w:rsidR="008D128D" w:rsidRPr="00525F65" w:rsidRDefault="008D128D" w:rsidP="008D128D">
      <w:pPr>
        <w:tabs>
          <w:tab w:val="left" w:pos="993"/>
        </w:tabs>
        <w:spacing w:before="60" w:after="60"/>
        <w:ind w:firstLine="567"/>
        <w:jc w:val="both"/>
      </w:pPr>
      <w:r w:rsidRPr="00525F65">
        <w:t>Не се предвижда закупуването на документацията за участие в настоящата обществена поръчка.</w:t>
      </w:r>
    </w:p>
    <w:p w:rsidR="008D128D" w:rsidRPr="00525F65" w:rsidRDefault="008D128D" w:rsidP="008D128D">
      <w:pPr>
        <w:tabs>
          <w:tab w:val="left" w:pos="993"/>
        </w:tabs>
        <w:spacing w:before="60" w:after="60"/>
        <w:ind w:firstLine="567"/>
        <w:jc w:val="both"/>
      </w:pPr>
      <w:r w:rsidRPr="00525F65">
        <w:rPr>
          <w:b/>
          <w:u w:val="single"/>
        </w:rPr>
        <w:t>Документацията за участие ще се публикува в профила на купувача от деня на публикуването на обявлението и решението в Профил на купувача (във връзка с чл. 64, ал. 3, предложение второ от ЗОП)</w:t>
      </w:r>
      <w:r w:rsidRPr="00525F65">
        <w:rPr>
          <w:b/>
        </w:rPr>
        <w:t>.</w:t>
      </w:r>
      <w:r w:rsidR="00734852">
        <w:t>–</w:t>
      </w:r>
      <w:r w:rsidR="00734852">
        <w:rPr>
          <w:rStyle w:val="a3"/>
          <w:lang w:val="en-US"/>
        </w:rPr>
        <w:t>www.pernik.bg</w:t>
      </w:r>
      <w:r w:rsidRPr="00525F65">
        <w:t>Документацията ще е достъпна до крайния срок за получаване на офертите.</w:t>
      </w:r>
    </w:p>
    <w:p w:rsidR="008D128D" w:rsidRPr="00525F65" w:rsidRDefault="008D128D" w:rsidP="008D128D">
      <w:pPr>
        <w:tabs>
          <w:tab w:val="left" w:pos="993"/>
        </w:tabs>
        <w:autoSpaceDE w:val="0"/>
        <w:autoSpaceDN w:val="0"/>
        <w:adjustRightInd w:val="0"/>
        <w:spacing w:before="60" w:after="60"/>
        <w:ind w:firstLine="567"/>
        <w:jc w:val="both"/>
        <w:rPr>
          <w:rStyle w:val="FontStyle29"/>
        </w:rPr>
      </w:pPr>
    </w:p>
    <w:p w:rsidR="008D128D" w:rsidRPr="00525F65" w:rsidRDefault="008D128D" w:rsidP="008D128D">
      <w:pPr>
        <w:pStyle w:val="3"/>
        <w:numPr>
          <w:ilvl w:val="0"/>
          <w:numId w:val="3"/>
        </w:numPr>
        <w:tabs>
          <w:tab w:val="left" w:pos="540"/>
          <w:tab w:val="left" w:pos="993"/>
        </w:tabs>
        <w:spacing w:before="60" w:after="60" w:line="264" w:lineRule="auto"/>
        <w:ind w:left="0" w:firstLine="567"/>
        <w:jc w:val="both"/>
        <w:rPr>
          <w:b/>
          <w:sz w:val="24"/>
          <w:szCs w:val="24"/>
        </w:rPr>
      </w:pPr>
      <w:bookmarkStart w:id="9" w:name="_Toc351882537"/>
      <w:r w:rsidRPr="00525F65">
        <w:rPr>
          <w:b/>
          <w:sz w:val="24"/>
          <w:szCs w:val="24"/>
        </w:rPr>
        <w:t>Искане на разяснения и срокове за даване на разяснения</w:t>
      </w:r>
      <w:bookmarkEnd w:id="9"/>
    </w:p>
    <w:p w:rsidR="008D128D" w:rsidRPr="00525F65" w:rsidRDefault="008D128D" w:rsidP="008D128D">
      <w:pPr>
        <w:tabs>
          <w:tab w:val="left" w:pos="993"/>
        </w:tabs>
        <w:spacing w:before="60" w:after="60"/>
        <w:ind w:firstLine="567"/>
        <w:jc w:val="both"/>
      </w:pPr>
      <w:r w:rsidRPr="00525F65">
        <w:t>Всяко лице може да поиска писмено от Възложителя разяснения по документацията за участие.</w:t>
      </w:r>
    </w:p>
    <w:p w:rsidR="008D128D" w:rsidRPr="00525F65" w:rsidRDefault="008D128D" w:rsidP="008D128D">
      <w:pPr>
        <w:tabs>
          <w:tab w:val="left" w:pos="993"/>
        </w:tabs>
        <w:spacing w:before="60" w:after="60"/>
        <w:ind w:firstLine="567"/>
        <w:jc w:val="both"/>
      </w:pPr>
      <w:r w:rsidRPr="00525F65">
        <w:t>Исканията за разяснения могат да бъдат правени не по–късно от 10 (десет) дни преди изтичане на срока за подаване на офертите.</w:t>
      </w:r>
    </w:p>
    <w:p w:rsidR="008D128D" w:rsidRPr="00525F65" w:rsidRDefault="008D128D" w:rsidP="008D128D">
      <w:pPr>
        <w:tabs>
          <w:tab w:val="left" w:pos="993"/>
        </w:tabs>
        <w:spacing w:before="60" w:after="60"/>
        <w:ind w:firstLine="567"/>
        <w:jc w:val="both"/>
      </w:pPr>
      <w:r w:rsidRPr="00525F65">
        <w:t>Възложителят е длъжен да отговори в 4-дневен (четиридневен) срок от датата, на която е постъпило запитването.</w:t>
      </w:r>
    </w:p>
    <w:p w:rsidR="008D128D" w:rsidRPr="00525F65" w:rsidRDefault="008D128D" w:rsidP="008D128D">
      <w:pPr>
        <w:jc w:val="both"/>
        <w:textAlignment w:val="center"/>
        <w:rPr>
          <w:lang w:eastAsia="bg-BG"/>
        </w:rPr>
      </w:pPr>
      <w:r w:rsidRPr="00525F65">
        <w:t xml:space="preserve">Възложителят публикува разясненията на Интернет страница, на която е публикувана документацията за участие </w:t>
      </w:r>
      <w:r w:rsidR="00734852">
        <w:rPr>
          <w:rStyle w:val="a3"/>
          <w:lang w:val="en-US"/>
        </w:rPr>
        <w:t>www.pernik.bg</w:t>
      </w:r>
      <w:r w:rsidR="00430D94" w:rsidRPr="00430D94">
        <w:rPr>
          <w:rStyle w:val="a3"/>
          <w:u w:val="none"/>
        </w:rPr>
        <w:t xml:space="preserve"> </w:t>
      </w:r>
      <w:r w:rsidRPr="00525F65">
        <w:t xml:space="preserve">без да посочва в отговора лицето, направило запитването. Ако лицата са посочили електронен адрес, разясненията се изпращат на него в деня на публикуването им в профила на купувача. </w:t>
      </w:r>
      <w:r w:rsidRPr="00525F65">
        <w:rPr>
          <w:lang w:eastAsia="bg-BG"/>
        </w:rPr>
        <w:t>В разясненията не се посочва информация за лицата, които са ги поискали.</w:t>
      </w:r>
    </w:p>
    <w:p w:rsidR="008D128D" w:rsidRPr="00525F65" w:rsidRDefault="008D128D" w:rsidP="008D128D">
      <w:pPr>
        <w:tabs>
          <w:tab w:val="left" w:pos="993"/>
        </w:tabs>
        <w:spacing w:before="60" w:after="60"/>
        <w:ind w:firstLine="567"/>
        <w:jc w:val="both"/>
      </w:pPr>
      <w:r w:rsidRPr="00525F65">
        <w:t>Когато от публикуването на разясненията от възложителя до крайния срок за получаване на оферти или заявления остават по-малко от 6 (шест) дни, възложителят е длъжен да удължи срока за получаване на оферти. В този случай 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оферти не може да има по-малко от 6 шест) дни.</w:t>
      </w:r>
    </w:p>
    <w:p w:rsidR="008D128D" w:rsidRPr="00525F65" w:rsidRDefault="008D128D" w:rsidP="008D128D">
      <w:pPr>
        <w:pStyle w:val="3"/>
        <w:tabs>
          <w:tab w:val="left" w:pos="993"/>
        </w:tabs>
        <w:spacing w:after="0" w:line="264" w:lineRule="auto"/>
        <w:ind w:left="0" w:firstLine="567"/>
        <w:jc w:val="center"/>
        <w:rPr>
          <w:b/>
          <w:sz w:val="24"/>
          <w:szCs w:val="24"/>
        </w:rPr>
      </w:pPr>
    </w:p>
    <w:p w:rsidR="008D128D" w:rsidRPr="00525F65" w:rsidRDefault="008D128D" w:rsidP="008D128D">
      <w:pPr>
        <w:pStyle w:val="3"/>
        <w:tabs>
          <w:tab w:val="left" w:pos="993"/>
        </w:tabs>
        <w:spacing w:after="0" w:line="264" w:lineRule="auto"/>
        <w:ind w:left="0"/>
        <w:jc w:val="center"/>
        <w:rPr>
          <w:b/>
          <w:sz w:val="24"/>
          <w:szCs w:val="24"/>
        </w:rPr>
      </w:pPr>
      <w:r w:rsidRPr="00525F65">
        <w:rPr>
          <w:b/>
          <w:sz w:val="24"/>
          <w:szCs w:val="24"/>
        </w:rPr>
        <w:t>ДРУГИ УКАЗАНИЯ</w:t>
      </w:r>
    </w:p>
    <w:p w:rsidR="008D128D" w:rsidRPr="00525F65" w:rsidRDefault="008D128D" w:rsidP="008D128D">
      <w:pPr>
        <w:pStyle w:val="3"/>
        <w:numPr>
          <w:ilvl w:val="0"/>
          <w:numId w:val="3"/>
        </w:numPr>
        <w:tabs>
          <w:tab w:val="left" w:pos="540"/>
          <w:tab w:val="left" w:pos="993"/>
        </w:tabs>
        <w:spacing w:before="60" w:after="60" w:line="264" w:lineRule="auto"/>
        <w:ind w:left="0" w:firstLine="567"/>
        <w:jc w:val="both"/>
        <w:rPr>
          <w:sz w:val="24"/>
          <w:szCs w:val="24"/>
        </w:rPr>
      </w:pPr>
      <w:r w:rsidRPr="00525F65">
        <w:rPr>
          <w:sz w:val="24"/>
          <w:szCs w:val="24"/>
        </w:rPr>
        <w:t xml:space="preserve">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и документацията за участие в процедурата. </w:t>
      </w:r>
    </w:p>
    <w:p w:rsidR="008D128D" w:rsidRPr="00525F65" w:rsidRDefault="008D128D" w:rsidP="008D128D">
      <w:pPr>
        <w:tabs>
          <w:tab w:val="left" w:pos="993"/>
        </w:tabs>
        <w:spacing w:before="60" w:after="60"/>
        <w:ind w:firstLine="567"/>
        <w:jc w:val="both"/>
      </w:pPr>
    </w:p>
    <w:p w:rsidR="00846CBD" w:rsidRDefault="00253818" w:rsidP="00846CBD">
      <w:pPr>
        <w:pStyle w:val="a6"/>
        <w:tabs>
          <w:tab w:val="left" w:pos="993"/>
        </w:tabs>
        <w:spacing w:before="60" w:after="60"/>
        <w:rPr>
          <w:b/>
          <w:bCs/>
          <w:iCs/>
          <w:sz w:val="28"/>
          <w:szCs w:val="28"/>
        </w:rPr>
      </w:pPr>
      <w:r>
        <w:rPr>
          <w:b/>
          <w:bCs/>
          <w:iCs/>
          <w:sz w:val="28"/>
          <w:szCs w:val="28"/>
        </w:rPr>
        <w:t xml:space="preserve">РАЗДЕЛ </w:t>
      </w:r>
      <w:r w:rsidR="00846CBD">
        <w:rPr>
          <w:b/>
          <w:bCs/>
          <w:iCs/>
          <w:sz w:val="28"/>
          <w:szCs w:val="28"/>
        </w:rPr>
        <w:t>V</w:t>
      </w:r>
    </w:p>
    <w:p w:rsidR="00846CBD" w:rsidRDefault="00846CBD" w:rsidP="00846CBD">
      <w:pPr>
        <w:pStyle w:val="a6"/>
        <w:tabs>
          <w:tab w:val="left" w:pos="993"/>
        </w:tabs>
        <w:spacing w:before="60" w:after="60"/>
        <w:rPr>
          <w:b/>
          <w:bCs/>
          <w:iCs/>
          <w:sz w:val="28"/>
          <w:szCs w:val="28"/>
        </w:rPr>
      </w:pPr>
      <w:r>
        <w:rPr>
          <w:b/>
          <w:bCs/>
          <w:iCs/>
          <w:sz w:val="28"/>
          <w:szCs w:val="28"/>
        </w:rPr>
        <w:t xml:space="preserve">УКАЗАНИЯ  ЗА  ПОДГОТОВКА  НА  ОФЕРТАTA </w:t>
      </w:r>
    </w:p>
    <w:p w:rsidR="00846CBD" w:rsidRDefault="00846CBD" w:rsidP="00846CBD">
      <w:pPr>
        <w:pStyle w:val="a6"/>
        <w:tabs>
          <w:tab w:val="left" w:pos="993"/>
        </w:tabs>
        <w:spacing w:before="60" w:after="60"/>
        <w:rPr>
          <w:b/>
          <w:bCs/>
          <w:iCs/>
          <w:sz w:val="28"/>
          <w:szCs w:val="28"/>
        </w:rPr>
      </w:pPr>
    </w:p>
    <w:p w:rsidR="00846CBD" w:rsidRDefault="00846CBD" w:rsidP="00846CBD">
      <w:pPr>
        <w:pStyle w:val="3"/>
        <w:numPr>
          <w:ilvl w:val="0"/>
          <w:numId w:val="5"/>
        </w:numPr>
        <w:tabs>
          <w:tab w:val="left" w:pos="540"/>
          <w:tab w:val="left" w:pos="993"/>
        </w:tabs>
        <w:spacing w:before="60" w:after="60" w:line="264" w:lineRule="auto"/>
        <w:ind w:left="0" w:firstLine="567"/>
        <w:jc w:val="both"/>
        <w:rPr>
          <w:sz w:val="24"/>
          <w:szCs w:val="24"/>
        </w:rPr>
      </w:pPr>
      <w:bookmarkStart w:id="10" w:name="_Toc351882539"/>
      <w:r>
        <w:rPr>
          <w:b/>
          <w:sz w:val="24"/>
          <w:szCs w:val="24"/>
        </w:rPr>
        <w:t>Подготовка на офертата</w:t>
      </w:r>
      <w:bookmarkEnd w:id="10"/>
    </w:p>
    <w:p w:rsidR="00846CBD" w:rsidRDefault="00846CBD" w:rsidP="00846CBD">
      <w:pPr>
        <w:tabs>
          <w:tab w:val="left" w:pos="993"/>
        </w:tabs>
        <w:spacing w:before="60" w:after="60"/>
        <w:ind w:firstLine="567"/>
        <w:jc w:val="both"/>
      </w:pPr>
      <w:r>
        <w:t>Участниците трябва да проучат всички указания и условия за участие, дадени в документацията за участие. При изготвяне на офертата всеки участник трябва да се придържа точно към условията, обявени от Възложителя. Отговорността за правилното разучаване на документацията за участие се носи единствено от участниците.</w:t>
      </w:r>
    </w:p>
    <w:p w:rsidR="00846CBD" w:rsidRDefault="00846CBD" w:rsidP="00846CBD">
      <w:pPr>
        <w:tabs>
          <w:tab w:val="left" w:pos="993"/>
        </w:tabs>
        <w:spacing w:before="60" w:after="60"/>
        <w:ind w:firstLine="567"/>
        <w:jc w:val="both"/>
      </w:pPr>
      <w:r>
        <w:t>Представянето на оферта задължава участника да приеме напълно всички изисквания и условия, посочени в тази документация, при спазване на ЗОП.</w:t>
      </w:r>
    </w:p>
    <w:p w:rsidR="00846CBD" w:rsidRDefault="00846CBD" w:rsidP="00846CBD">
      <w:pPr>
        <w:tabs>
          <w:tab w:val="left" w:pos="993"/>
        </w:tabs>
        <w:spacing w:before="60" w:after="60"/>
        <w:ind w:firstLine="567"/>
        <w:jc w:val="both"/>
      </w:pPr>
      <w:r>
        <w:t>Всеки участник в процедурата има право да представи само една оферта.</w:t>
      </w:r>
    </w:p>
    <w:p w:rsidR="00846CBD" w:rsidRDefault="00846CBD" w:rsidP="00846CBD">
      <w:pPr>
        <w:tabs>
          <w:tab w:val="left" w:pos="993"/>
        </w:tabs>
        <w:spacing w:before="60" w:after="60"/>
        <w:ind w:firstLine="567"/>
        <w:jc w:val="both"/>
      </w:pPr>
      <w:r>
        <w:t>Варианти на офертите не се допускат.</w:t>
      </w:r>
    </w:p>
    <w:p w:rsidR="00846CBD" w:rsidRDefault="00846CBD" w:rsidP="00846CBD">
      <w:pPr>
        <w:tabs>
          <w:tab w:val="left" w:pos="993"/>
        </w:tabs>
        <w:spacing w:before="60" w:after="60"/>
        <w:ind w:firstLine="567"/>
        <w:jc w:val="both"/>
      </w:pPr>
      <w:r>
        <w:t>До изтичането на срока за подаване на офертите всеки участник в процедурата може да промени, допълни или да оттегли офертата си.</w:t>
      </w:r>
    </w:p>
    <w:p w:rsidR="00846CBD" w:rsidRDefault="00846CBD" w:rsidP="00846CBD">
      <w:pPr>
        <w:pStyle w:val="3"/>
        <w:numPr>
          <w:ilvl w:val="0"/>
          <w:numId w:val="5"/>
        </w:numPr>
        <w:tabs>
          <w:tab w:val="left" w:pos="540"/>
          <w:tab w:val="left" w:pos="993"/>
        </w:tabs>
        <w:spacing w:before="60" w:after="60" w:line="264" w:lineRule="auto"/>
        <w:ind w:left="0" w:firstLine="567"/>
        <w:jc w:val="both"/>
        <w:rPr>
          <w:sz w:val="24"/>
          <w:szCs w:val="24"/>
        </w:rPr>
      </w:pPr>
      <w:bookmarkStart w:id="11" w:name="_Toc351882540"/>
      <w:r>
        <w:rPr>
          <w:b/>
          <w:sz w:val="24"/>
          <w:szCs w:val="24"/>
        </w:rPr>
        <w:t>Изчисляване на срокове</w:t>
      </w:r>
      <w:bookmarkEnd w:id="11"/>
    </w:p>
    <w:p w:rsidR="00846CBD" w:rsidRDefault="00846CBD" w:rsidP="00846CBD">
      <w:pPr>
        <w:tabs>
          <w:tab w:val="left" w:pos="993"/>
        </w:tabs>
        <w:spacing w:before="60" w:after="60"/>
        <w:ind w:firstLine="567"/>
        <w:jc w:val="both"/>
      </w:pPr>
      <w:r>
        <w:t>Сроковете, посочени в тази документация се изчисляват, както следва:</w:t>
      </w:r>
    </w:p>
    <w:p w:rsidR="00846CBD" w:rsidRDefault="00846CBD" w:rsidP="00846CBD">
      <w:pPr>
        <w:pStyle w:val="a4"/>
        <w:numPr>
          <w:ilvl w:val="1"/>
          <w:numId w:val="6"/>
        </w:numPr>
        <w:tabs>
          <w:tab w:val="left" w:pos="993"/>
        </w:tabs>
        <w:spacing w:before="60" w:after="60"/>
        <w:ind w:left="0" w:firstLine="567"/>
        <w:jc w:val="both"/>
      </w:pPr>
      <w:r>
        <w:t>когато срокът е посочен в дни, той изтича в края на последния ден на посочения период;</w:t>
      </w:r>
    </w:p>
    <w:p w:rsidR="00846CBD" w:rsidRDefault="00846CBD" w:rsidP="00846CBD">
      <w:pPr>
        <w:pStyle w:val="a4"/>
        <w:numPr>
          <w:ilvl w:val="1"/>
          <w:numId w:val="6"/>
        </w:numPr>
        <w:tabs>
          <w:tab w:val="left" w:pos="993"/>
        </w:tabs>
        <w:spacing w:before="60" w:after="60"/>
        <w:ind w:left="0" w:firstLine="567"/>
        <w:jc w:val="both"/>
      </w:pPr>
      <w:r>
        <w:t>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846CBD" w:rsidRDefault="00846CBD" w:rsidP="00846CBD">
      <w:pPr>
        <w:tabs>
          <w:tab w:val="left" w:pos="993"/>
        </w:tabs>
        <w:spacing w:before="60" w:after="60"/>
        <w:ind w:firstLine="567"/>
        <w:jc w:val="both"/>
      </w:pPr>
      <w:r>
        <w:t>Сроковете в документацията са в календарни дни, освен ако е изрично посочено, че са в работни дни.</w:t>
      </w:r>
    </w:p>
    <w:p w:rsidR="008D0DA2" w:rsidRDefault="008D0DA2"/>
    <w:sectPr w:rsidR="008D0DA2" w:rsidSect="00430D9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A78B6"/>
    <w:multiLevelType w:val="hybridMultilevel"/>
    <w:tmpl w:val="DDC0CCA0"/>
    <w:lvl w:ilvl="0" w:tplc="B556128C">
      <w:start w:val="16"/>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1">
    <w:nsid w:val="41133243"/>
    <w:multiLevelType w:val="hybridMultilevel"/>
    <w:tmpl w:val="6B7CCE70"/>
    <w:lvl w:ilvl="0" w:tplc="FFFFFFFF">
      <w:start w:val="1"/>
      <w:numFmt w:val="decimal"/>
      <w:lvlText w:val="%1."/>
      <w:lvlJc w:val="left"/>
      <w:pPr>
        <w:ind w:left="786" w:hanging="360"/>
      </w:pPr>
      <w:rPr>
        <w:rFonts w:cs="Times New Roman"/>
      </w:rPr>
    </w:lvl>
    <w:lvl w:ilvl="1" w:tplc="4D10DAA4">
      <w:start w:val="1"/>
      <w:numFmt w:val="bullet"/>
      <w:lvlText w:val=""/>
      <w:lvlJc w:val="left"/>
      <w:pPr>
        <w:ind w:left="928" w:hanging="360"/>
      </w:pPr>
      <w:rPr>
        <w:rFonts w:ascii="Symbol" w:hAnsi="Symbol" w:hint="default"/>
        <w:color w:val="auto"/>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nsid w:val="5BDF3A97"/>
    <w:multiLevelType w:val="hybridMultilevel"/>
    <w:tmpl w:val="8E503B24"/>
    <w:lvl w:ilvl="0" w:tplc="24624E4C">
      <w:start w:val="1"/>
      <w:numFmt w:val="decimal"/>
      <w:lvlText w:val="%1."/>
      <w:lvlJc w:val="left"/>
      <w:pPr>
        <w:tabs>
          <w:tab w:val="num" w:pos="502"/>
        </w:tabs>
        <w:ind w:left="502" w:hanging="360"/>
      </w:pPr>
      <w:rPr>
        <w:rFonts w:cs="Times New Roman" w:hint="default"/>
        <w:b/>
        <w:i w:val="0"/>
        <w:color w:val="auto"/>
        <w:sz w:val="24"/>
        <w:szCs w:val="24"/>
      </w:rPr>
    </w:lvl>
    <w:lvl w:ilvl="1" w:tplc="BFAA8E20">
      <w:start w:val="1"/>
      <w:numFmt w:val="russianLower"/>
      <w:lvlText w:val="%2)"/>
      <w:lvlJc w:val="left"/>
      <w:pPr>
        <w:tabs>
          <w:tab w:val="num" w:pos="1800"/>
        </w:tabs>
        <w:ind w:left="1800" w:hanging="360"/>
      </w:pPr>
      <w:rPr>
        <w:rFonts w:cs="Times New Roman" w:hint="default"/>
        <w:b w:val="0"/>
        <w:i w:val="0"/>
      </w:rPr>
    </w:lvl>
    <w:lvl w:ilvl="2" w:tplc="0402001B">
      <w:start w:val="1"/>
      <w:numFmt w:val="russianLower"/>
      <w:lvlText w:val="%3)"/>
      <w:lvlJc w:val="left"/>
      <w:pPr>
        <w:tabs>
          <w:tab w:val="num" w:pos="1800"/>
        </w:tabs>
        <w:ind w:left="1800" w:hanging="360"/>
      </w:pPr>
      <w:rPr>
        <w:rFonts w:cs="Times New Roman" w:hint="default"/>
        <w:b w:val="0"/>
        <w:i w:val="0"/>
      </w:rPr>
    </w:lvl>
    <w:lvl w:ilvl="3" w:tplc="12BE89FC">
      <w:start w:val="2"/>
      <w:numFmt w:val="bullet"/>
      <w:lvlText w:val="-"/>
      <w:lvlJc w:val="left"/>
      <w:pPr>
        <w:tabs>
          <w:tab w:val="num" w:pos="3930"/>
        </w:tabs>
        <w:ind w:left="3930" w:hanging="1050"/>
      </w:pPr>
      <w:rPr>
        <w:rFonts w:ascii="Times New Roman" w:eastAsia="Times New Roman" w:hAnsi="Times New Roman" w:hint="default"/>
        <w:color w:val="auto"/>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3">
    <w:nsid w:val="5D0712B0"/>
    <w:multiLevelType w:val="hybridMultilevel"/>
    <w:tmpl w:val="9B6E4DB2"/>
    <w:lvl w:ilvl="0" w:tplc="F5489126">
      <w:start w:val="16"/>
      <w:numFmt w:val="decimal"/>
      <w:lvlText w:val="%1."/>
      <w:lvlJc w:val="left"/>
      <w:pPr>
        <w:ind w:left="928" w:hanging="360"/>
      </w:pPr>
      <w:rPr>
        <w:rFonts w:hint="default"/>
        <w:b/>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nsid w:val="6A3E1BC5"/>
    <w:multiLevelType w:val="hybridMultilevel"/>
    <w:tmpl w:val="E4564B36"/>
    <w:lvl w:ilvl="0" w:tplc="BCCC9674">
      <w:start w:val="1"/>
      <w:numFmt w:val="decimal"/>
      <w:lvlText w:val="%1."/>
      <w:lvlJc w:val="left"/>
      <w:pPr>
        <w:tabs>
          <w:tab w:val="num" w:pos="786"/>
        </w:tabs>
        <w:ind w:left="786" w:hanging="360"/>
      </w:pPr>
      <w:rPr>
        <w:rFonts w:cs="Times New Roman"/>
        <w:b/>
        <w:i w:val="0"/>
      </w:rPr>
    </w:lvl>
    <w:lvl w:ilvl="1" w:tplc="22D472D0">
      <w:start w:val="1"/>
      <w:numFmt w:val="lowerLetter"/>
      <w:lvlText w:val="%2."/>
      <w:lvlJc w:val="left"/>
      <w:pPr>
        <w:tabs>
          <w:tab w:val="num" w:pos="1440"/>
        </w:tabs>
        <w:ind w:left="1440" w:hanging="360"/>
      </w:pPr>
    </w:lvl>
    <w:lvl w:ilvl="2" w:tplc="22F2F206">
      <w:start w:val="1"/>
      <w:numFmt w:val="lowerRoman"/>
      <w:lvlText w:val="%3."/>
      <w:lvlJc w:val="right"/>
      <w:pPr>
        <w:tabs>
          <w:tab w:val="num" w:pos="2160"/>
        </w:tabs>
        <w:ind w:left="2160" w:hanging="180"/>
      </w:pPr>
    </w:lvl>
    <w:lvl w:ilvl="3" w:tplc="5278169E">
      <w:start w:val="1"/>
      <w:numFmt w:val="decimal"/>
      <w:lvlText w:val="%4."/>
      <w:lvlJc w:val="left"/>
      <w:pPr>
        <w:tabs>
          <w:tab w:val="num" w:pos="2880"/>
        </w:tabs>
        <w:ind w:left="2880" w:hanging="360"/>
      </w:pPr>
    </w:lvl>
    <w:lvl w:ilvl="4" w:tplc="193A4EFA">
      <w:start w:val="1"/>
      <w:numFmt w:val="lowerLetter"/>
      <w:lvlText w:val="%5."/>
      <w:lvlJc w:val="left"/>
      <w:pPr>
        <w:tabs>
          <w:tab w:val="num" w:pos="3600"/>
        </w:tabs>
        <w:ind w:left="3600" w:hanging="360"/>
      </w:pPr>
    </w:lvl>
    <w:lvl w:ilvl="5" w:tplc="1DD00BEC">
      <w:start w:val="1"/>
      <w:numFmt w:val="lowerRoman"/>
      <w:lvlText w:val="%6."/>
      <w:lvlJc w:val="right"/>
      <w:pPr>
        <w:tabs>
          <w:tab w:val="num" w:pos="4320"/>
        </w:tabs>
        <w:ind w:left="4320" w:hanging="180"/>
      </w:pPr>
    </w:lvl>
    <w:lvl w:ilvl="6" w:tplc="D518A782">
      <w:start w:val="1"/>
      <w:numFmt w:val="decimal"/>
      <w:lvlText w:val="%7."/>
      <w:lvlJc w:val="left"/>
      <w:pPr>
        <w:tabs>
          <w:tab w:val="num" w:pos="5040"/>
        </w:tabs>
        <w:ind w:left="5040" w:hanging="360"/>
      </w:pPr>
    </w:lvl>
    <w:lvl w:ilvl="7" w:tplc="C61E2816">
      <w:start w:val="1"/>
      <w:numFmt w:val="lowerLetter"/>
      <w:lvlText w:val="%8."/>
      <w:lvlJc w:val="left"/>
      <w:pPr>
        <w:tabs>
          <w:tab w:val="num" w:pos="5760"/>
        </w:tabs>
        <w:ind w:left="5760" w:hanging="360"/>
      </w:pPr>
    </w:lvl>
    <w:lvl w:ilvl="8" w:tplc="20744DB2">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25"/>
    <w:rsid w:val="000B3F60"/>
    <w:rsid w:val="00253818"/>
    <w:rsid w:val="00265ED0"/>
    <w:rsid w:val="002F23F6"/>
    <w:rsid w:val="003102DC"/>
    <w:rsid w:val="003A67CD"/>
    <w:rsid w:val="00430D94"/>
    <w:rsid w:val="004753CA"/>
    <w:rsid w:val="00495780"/>
    <w:rsid w:val="004C3CD6"/>
    <w:rsid w:val="00590099"/>
    <w:rsid w:val="00633792"/>
    <w:rsid w:val="006C3639"/>
    <w:rsid w:val="007021E2"/>
    <w:rsid w:val="00734852"/>
    <w:rsid w:val="00846CBD"/>
    <w:rsid w:val="00876AAF"/>
    <w:rsid w:val="008D0DA2"/>
    <w:rsid w:val="008D128D"/>
    <w:rsid w:val="00AD4824"/>
    <w:rsid w:val="00B979DB"/>
    <w:rsid w:val="00CA7FB9"/>
    <w:rsid w:val="00D170D2"/>
    <w:rsid w:val="00E76BAB"/>
    <w:rsid w:val="00EC1525"/>
    <w:rsid w:val="00F155A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8D"/>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8D128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8D128D"/>
    <w:rPr>
      <w:rFonts w:ascii="Cambria" w:eastAsia="Times New Roman" w:hAnsi="Cambria" w:cs="Times New Roman"/>
      <w:b/>
      <w:bCs/>
      <w:color w:val="4F81BD"/>
      <w:sz w:val="26"/>
      <w:szCs w:val="26"/>
    </w:rPr>
  </w:style>
  <w:style w:type="character" w:styleId="a3">
    <w:name w:val="Hyperlink"/>
    <w:uiPriority w:val="99"/>
    <w:unhideWhenUsed/>
    <w:rsid w:val="008D128D"/>
    <w:rPr>
      <w:color w:val="0000FF"/>
      <w:u w:val="single"/>
    </w:rPr>
  </w:style>
  <w:style w:type="paragraph" w:styleId="a4">
    <w:name w:val="List Paragraph"/>
    <w:basedOn w:val="a"/>
    <w:link w:val="a5"/>
    <w:uiPriority w:val="34"/>
    <w:qFormat/>
    <w:rsid w:val="008D128D"/>
    <w:pPr>
      <w:ind w:left="720"/>
      <w:contextualSpacing/>
    </w:pPr>
  </w:style>
  <w:style w:type="paragraph" w:styleId="a6">
    <w:name w:val="Body Text"/>
    <w:aliases w:val="block style"/>
    <w:basedOn w:val="a"/>
    <w:link w:val="a7"/>
    <w:rsid w:val="008D128D"/>
    <w:pPr>
      <w:jc w:val="center"/>
    </w:pPr>
  </w:style>
  <w:style w:type="character" w:customStyle="1" w:styleId="a7">
    <w:name w:val="Основен текст Знак"/>
    <w:aliases w:val="block style Знак"/>
    <w:basedOn w:val="a0"/>
    <w:link w:val="a6"/>
    <w:rsid w:val="008D128D"/>
    <w:rPr>
      <w:rFonts w:ascii="Times New Roman" w:eastAsia="Times New Roman" w:hAnsi="Times New Roman" w:cs="Times New Roman"/>
      <w:sz w:val="24"/>
      <w:szCs w:val="24"/>
    </w:rPr>
  </w:style>
  <w:style w:type="paragraph" w:styleId="3">
    <w:name w:val="Body Text Indent 3"/>
    <w:basedOn w:val="a"/>
    <w:link w:val="30"/>
    <w:rsid w:val="008D128D"/>
    <w:pPr>
      <w:spacing w:after="120"/>
      <w:ind w:left="283"/>
    </w:pPr>
    <w:rPr>
      <w:sz w:val="16"/>
      <w:szCs w:val="16"/>
    </w:rPr>
  </w:style>
  <w:style w:type="character" w:customStyle="1" w:styleId="30">
    <w:name w:val="Основен текст с отстъп 3 Знак"/>
    <w:basedOn w:val="a0"/>
    <w:link w:val="3"/>
    <w:rsid w:val="008D128D"/>
    <w:rPr>
      <w:rFonts w:ascii="Times New Roman" w:eastAsia="Times New Roman" w:hAnsi="Times New Roman" w:cs="Times New Roman"/>
      <w:sz w:val="16"/>
      <w:szCs w:val="16"/>
    </w:rPr>
  </w:style>
  <w:style w:type="character" w:customStyle="1" w:styleId="FontStyle29">
    <w:name w:val="Font Style29"/>
    <w:rsid w:val="008D128D"/>
    <w:rPr>
      <w:rFonts w:ascii="Times New Roman" w:hAnsi="Times New Roman"/>
      <w:sz w:val="22"/>
    </w:rPr>
  </w:style>
  <w:style w:type="character" w:customStyle="1" w:styleId="a5">
    <w:name w:val="Списък на абзаци Знак"/>
    <w:link w:val="a4"/>
    <w:uiPriority w:val="34"/>
    <w:locked/>
    <w:rsid w:val="008D128D"/>
    <w:rPr>
      <w:rFonts w:ascii="Times New Roman" w:eastAsia="Times New Roman" w:hAnsi="Times New Roman" w:cs="Times New Roman"/>
      <w:sz w:val="24"/>
      <w:szCs w:val="24"/>
    </w:rPr>
  </w:style>
  <w:style w:type="character" w:customStyle="1" w:styleId="apple-converted-space">
    <w:name w:val="apple-converted-space"/>
    <w:basedOn w:val="a0"/>
    <w:rsid w:val="008D128D"/>
  </w:style>
  <w:style w:type="character" w:customStyle="1" w:styleId="timark">
    <w:name w:val="timark"/>
    <w:rsid w:val="008D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8D"/>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8D128D"/>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8D128D"/>
    <w:rPr>
      <w:rFonts w:ascii="Cambria" w:eastAsia="Times New Roman" w:hAnsi="Cambria" w:cs="Times New Roman"/>
      <w:b/>
      <w:bCs/>
      <w:color w:val="4F81BD"/>
      <w:sz w:val="26"/>
      <w:szCs w:val="26"/>
    </w:rPr>
  </w:style>
  <w:style w:type="character" w:styleId="a3">
    <w:name w:val="Hyperlink"/>
    <w:uiPriority w:val="99"/>
    <w:unhideWhenUsed/>
    <w:rsid w:val="008D128D"/>
    <w:rPr>
      <w:color w:val="0000FF"/>
      <w:u w:val="single"/>
    </w:rPr>
  </w:style>
  <w:style w:type="paragraph" w:styleId="a4">
    <w:name w:val="List Paragraph"/>
    <w:basedOn w:val="a"/>
    <w:link w:val="a5"/>
    <w:uiPriority w:val="34"/>
    <w:qFormat/>
    <w:rsid w:val="008D128D"/>
    <w:pPr>
      <w:ind w:left="720"/>
      <w:contextualSpacing/>
    </w:pPr>
  </w:style>
  <w:style w:type="paragraph" w:styleId="a6">
    <w:name w:val="Body Text"/>
    <w:aliases w:val="block style"/>
    <w:basedOn w:val="a"/>
    <w:link w:val="a7"/>
    <w:rsid w:val="008D128D"/>
    <w:pPr>
      <w:jc w:val="center"/>
    </w:pPr>
  </w:style>
  <w:style w:type="character" w:customStyle="1" w:styleId="a7">
    <w:name w:val="Основен текст Знак"/>
    <w:aliases w:val="block style Знак"/>
    <w:basedOn w:val="a0"/>
    <w:link w:val="a6"/>
    <w:rsid w:val="008D128D"/>
    <w:rPr>
      <w:rFonts w:ascii="Times New Roman" w:eastAsia="Times New Roman" w:hAnsi="Times New Roman" w:cs="Times New Roman"/>
      <w:sz w:val="24"/>
      <w:szCs w:val="24"/>
    </w:rPr>
  </w:style>
  <w:style w:type="paragraph" w:styleId="3">
    <w:name w:val="Body Text Indent 3"/>
    <w:basedOn w:val="a"/>
    <w:link w:val="30"/>
    <w:rsid w:val="008D128D"/>
    <w:pPr>
      <w:spacing w:after="120"/>
      <w:ind w:left="283"/>
    </w:pPr>
    <w:rPr>
      <w:sz w:val="16"/>
      <w:szCs w:val="16"/>
    </w:rPr>
  </w:style>
  <w:style w:type="character" w:customStyle="1" w:styleId="30">
    <w:name w:val="Основен текст с отстъп 3 Знак"/>
    <w:basedOn w:val="a0"/>
    <w:link w:val="3"/>
    <w:rsid w:val="008D128D"/>
    <w:rPr>
      <w:rFonts w:ascii="Times New Roman" w:eastAsia="Times New Roman" w:hAnsi="Times New Roman" w:cs="Times New Roman"/>
      <w:sz w:val="16"/>
      <w:szCs w:val="16"/>
    </w:rPr>
  </w:style>
  <w:style w:type="character" w:customStyle="1" w:styleId="FontStyle29">
    <w:name w:val="Font Style29"/>
    <w:rsid w:val="008D128D"/>
    <w:rPr>
      <w:rFonts w:ascii="Times New Roman" w:hAnsi="Times New Roman"/>
      <w:sz w:val="22"/>
    </w:rPr>
  </w:style>
  <w:style w:type="character" w:customStyle="1" w:styleId="a5">
    <w:name w:val="Списък на абзаци Знак"/>
    <w:link w:val="a4"/>
    <w:uiPriority w:val="34"/>
    <w:locked/>
    <w:rsid w:val="008D128D"/>
    <w:rPr>
      <w:rFonts w:ascii="Times New Roman" w:eastAsia="Times New Roman" w:hAnsi="Times New Roman" w:cs="Times New Roman"/>
      <w:sz w:val="24"/>
      <w:szCs w:val="24"/>
    </w:rPr>
  </w:style>
  <w:style w:type="character" w:customStyle="1" w:styleId="apple-converted-space">
    <w:name w:val="apple-converted-space"/>
    <w:basedOn w:val="a0"/>
    <w:rsid w:val="008D128D"/>
  </w:style>
  <w:style w:type="character" w:customStyle="1" w:styleId="timark">
    <w:name w:val="timark"/>
    <w:rsid w:val="008D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1.ciela.net/Dispatcher.aspx?Destination=Document&amp;Method=OpenRef&amp;Idref=766656&amp;Category=normi&amp;lang=bg-BG" TargetMode="External"/><Relationship Id="rId13" Type="http://schemas.openxmlformats.org/officeDocument/2006/relationships/hyperlink" Target="http://pravo1.ciela.net/Dispatcher.aspx?Destination=Document&amp;Method=OpenRef&amp;Idref=881552&amp;Category=normi&amp;lang=bg-B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1.ciela.net/Dispatcher.aspx?Destination=Document&amp;Method=OpenRef&amp;Idref=766655&amp;Category=normi&amp;lang=bg-BG" TargetMode="External"/><Relationship Id="rId12" Type="http://schemas.openxmlformats.org/officeDocument/2006/relationships/hyperlink" Target="http://pravo1.ciela.net/Dispatcher.aspx?Destination=Document&amp;Method=OpenRef&amp;Idref=881551&amp;Category=normi&amp;lang=bg-BG" TargetMode="External"/><Relationship Id="rId17" Type="http://schemas.openxmlformats.org/officeDocument/2006/relationships/hyperlink" Target="http://pravo1.ciela.net/Dispatcher.aspx?Destination=Document&amp;Method=OpenRef&amp;Idref=818711&amp;Category=normi&amp;lang=bg-BG" TargetMode="External"/><Relationship Id="rId2" Type="http://schemas.openxmlformats.org/officeDocument/2006/relationships/styles" Target="styles.xml"/><Relationship Id="rId16" Type="http://schemas.openxmlformats.org/officeDocument/2006/relationships/hyperlink" Target="apis://NORM|4536|0||/" TargetMode="External"/><Relationship Id="rId1" Type="http://schemas.openxmlformats.org/officeDocument/2006/relationships/numbering" Target="numbering.xml"/><Relationship Id="rId6" Type="http://schemas.openxmlformats.org/officeDocument/2006/relationships/hyperlink" Target="http://pravo1.ciela.net/Dispatcher.aspx?Destination=Document&amp;Method=OpenRef&amp;Idref=766654&amp;Category=normi&amp;lang=bg-BG" TargetMode="External"/><Relationship Id="rId11" Type="http://schemas.openxmlformats.org/officeDocument/2006/relationships/hyperlink" Target="http://pravo1.ciela.net/Dispatcher.aspx?Destination=Document&amp;Method=OpenRef&amp;Idref=881550&amp;Category=normi&amp;lang=bg-BG" TargetMode="External"/><Relationship Id="rId5" Type="http://schemas.openxmlformats.org/officeDocument/2006/relationships/webSettings" Target="webSettings.xml"/><Relationship Id="rId15" Type="http://schemas.openxmlformats.org/officeDocument/2006/relationships/hyperlink" Target="http://pravo1.ciela.net/Dispatcher.aspx?Destination=Document&amp;Method=OpenRef&amp;Idref=882609&amp;Category=normi&amp;lang=bg-BG" TargetMode="External"/><Relationship Id="rId10" Type="http://schemas.openxmlformats.org/officeDocument/2006/relationships/hyperlink" Target="http://pravo1.ciela.net/Dispatcher.aspx?Destination=Document&amp;Method=OpenRef&amp;Idref=766658&amp;Category=normi&amp;lang=bg-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1.ciela.net/Dispatcher.aspx?Destination=Document&amp;Method=OpenRef&amp;Idref=766657&amp;Category=normi&amp;lang=bg-BG" TargetMode="External"/><Relationship Id="rId14" Type="http://schemas.openxmlformats.org/officeDocument/2006/relationships/hyperlink" Target="http://pravo1.ciela.net/Dispatcher.aspx?Destination=Document&amp;Method=OpenRef&amp;Idref=882608&amp;Category=normi&amp;lang=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3257</Words>
  <Characters>18569</Characters>
  <Application>Microsoft Office Word</Application>
  <DocSecurity>0</DocSecurity>
  <Lines>154</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gancheva</dc:creator>
  <cp:lastModifiedBy>User</cp:lastModifiedBy>
  <cp:revision>2</cp:revision>
  <dcterms:created xsi:type="dcterms:W3CDTF">2015-07-21T11:00:00Z</dcterms:created>
  <dcterms:modified xsi:type="dcterms:W3CDTF">2015-07-21T11:00:00Z</dcterms:modified>
</cp:coreProperties>
</file>